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77777777"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Pr="00074926">
        <w:rPr>
          <w:rFonts w:ascii="Arial" w:eastAsia="Batang" w:hAnsi="Arial" w:cs="Arial"/>
          <w:b/>
          <w:bCs/>
          <w:szCs w:val="22"/>
        </w:rPr>
        <w:tab/>
      </w:r>
      <w:r w:rsidRPr="00074926">
        <w:rPr>
          <w:rFonts w:ascii="Arial" w:eastAsia="Batang" w:hAnsi="Arial" w:cs="Arial"/>
          <w:b/>
          <w:bCs/>
          <w:szCs w:val="22"/>
        </w:rPr>
        <w:tab/>
      </w:r>
      <w:r w:rsidR="005C70A9" w:rsidRPr="005C70A9">
        <w:rPr>
          <w:rFonts w:ascii="Arial" w:eastAsia="Batang" w:hAnsi="Arial" w:cs="Arial"/>
          <w:b/>
          <w:bCs/>
          <w:szCs w:val="22"/>
        </w:rPr>
        <w:t>R1-1902192</w:t>
      </w:r>
    </w:p>
    <w:p w14:paraId="3B0F6453" w14:textId="77777777" w:rsidR="00855F39" w:rsidRPr="00074926" w:rsidRDefault="004D5BF4" w:rsidP="00855F39">
      <w:pPr>
        <w:tabs>
          <w:tab w:val="center" w:pos="4536"/>
          <w:tab w:val="right" w:pos="9072"/>
        </w:tabs>
        <w:ind w:left="1440" w:hanging="1440"/>
        <w:rPr>
          <w:rFonts w:ascii="Arial" w:eastAsia="MS Mincho" w:hAnsi="Arial" w:cs="Arial"/>
          <w:b/>
          <w:bCs/>
          <w:szCs w:val="22"/>
          <w:lang w:eastAsia="ja-JP"/>
        </w:rPr>
      </w:pPr>
      <w:r w:rsidRPr="004D5BF4">
        <w:rPr>
          <w:rFonts w:ascii="Arial" w:eastAsia="MS Mincho" w:hAnsi="Arial" w:cs="Arial"/>
          <w:b/>
          <w:bCs/>
          <w:szCs w:val="22"/>
          <w:lang w:eastAsia="ja-JP"/>
        </w:rPr>
        <w:t>Athens, Greece, 25th February – 1st March,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7777777"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777777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5C70A9" w:rsidRPr="005C70A9">
        <w:rPr>
          <w:b/>
          <w:color w:val="000000"/>
          <w:lang w:val="en-US"/>
        </w:rPr>
        <w:t>Considerations in using PUR</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77777777" w:rsidR="004D5BF4" w:rsidRDefault="004D5BF4" w:rsidP="004D5BF4">
      <w:pPr>
        <w:rPr>
          <w:rFonts w:eastAsia="MS Mincho"/>
          <w:lang w:val="en-US"/>
        </w:rPr>
      </w:pPr>
      <w:r>
        <w:rPr>
          <w:rFonts w:eastAsia="MS Mincho"/>
          <w:lang w:val="en-US"/>
        </w:rPr>
        <w:t>In RAN1</w:t>
      </w:r>
      <w:r w:rsidR="005C70A9">
        <w:rPr>
          <w:rFonts w:eastAsia="MS Mincho"/>
          <w:lang w:val="en-US"/>
        </w:rPr>
        <w:t>#95</w:t>
      </w:r>
      <w:r>
        <w:rPr>
          <w:rFonts w:eastAsia="MS Mincho"/>
          <w:lang w:val="en-US"/>
        </w:rPr>
        <w:t xml:space="preserve">, we </w:t>
      </w:r>
      <w:r w:rsidR="005C70A9">
        <w:rPr>
          <w:rFonts w:eastAsia="MS Mincho"/>
          <w:lang w:val="en-US"/>
        </w:rPr>
        <w:t>agreed the following</w:t>
      </w:r>
      <w:r w:rsidR="005C19D9">
        <w:rPr>
          <w:rFonts w:eastAsia="MS Mincho"/>
          <w:lang w:val="en-US"/>
        </w:rPr>
        <w:t xml:space="preserve"> on dedicated PUR</w:t>
      </w:r>
      <w:r>
        <w:rPr>
          <w:rFonts w:eastAsia="MS Mincho"/>
          <w:lang w:val="en-US"/>
        </w:rPr>
        <w:t>:</w:t>
      </w:r>
    </w:p>
    <w:p w14:paraId="53402299" w14:textId="77777777" w:rsidR="005C19D9" w:rsidRPr="005C19D9" w:rsidRDefault="005C19D9" w:rsidP="005C19D9">
      <w:pPr>
        <w:ind w:left="720"/>
        <w:rPr>
          <w:b/>
          <w:i/>
          <w:lang w:eastAsia="x-none"/>
        </w:rPr>
      </w:pPr>
      <w:r w:rsidRPr="005C19D9">
        <w:rPr>
          <w:b/>
          <w:i/>
          <w:highlight w:val="green"/>
          <w:lang w:eastAsia="x-none"/>
        </w:rPr>
        <w:t>Agreement</w:t>
      </w:r>
    </w:p>
    <w:p w14:paraId="5E7C3952" w14:textId="77777777" w:rsidR="005C19D9" w:rsidRPr="005C19D9" w:rsidRDefault="005C19D9" w:rsidP="005C19D9">
      <w:pPr>
        <w:ind w:left="720"/>
        <w:rPr>
          <w:i/>
          <w:lang w:eastAsia="x-none"/>
        </w:rPr>
      </w:pPr>
      <w:r w:rsidRPr="005C19D9">
        <w:rPr>
          <w:i/>
          <w:lang w:eastAsia="x-none"/>
        </w:rPr>
        <w:t>For dedicated PUR in idle mode, the UE may skip UL transmissions.</w:t>
      </w:r>
    </w:p>
    <w:p w14:paraId="5EAFF4A6" w14:textId="77777777" w:rsidR="005C19D9" w:rsidRPr="005C19D9" w:rsidRDefault="005C19D9" w:rsidP="005C19D9">
      <w:pPr>
        <w:numPr>
          <w:ilvl w:val="0"/>
          <w:numId w:val="25"/>
        </w:numPr>
        <w:spacing w:after="0"/>
        <w:ind w:left="1440"/>
        <w:rPr>
          <w:i/>
          <w:lang w:eastAsia="x-none"/>
        </w:rPr>
      </w:pPr>
      <w:r w:rsidRPr="005C19D9">
        <w:rPr>
          <w:i/>
          <w:lang w:eastAsia="x-none"/>
        </w:rPr>
        <w:t>FFS: Resource release mechanism</w:t>
      </w:r>
    </w:p>
    <w:p w14:paraId="1F4979CB" w14:textId="77777777" w:rsidR="005C19D9" w:rsidRPr="005C19D9" w:rsidRDefault="005C19D9" w:rsidP="005C19D9">
      <w:pPr>
        <w:numPr>
          <w:ilvl w:val="0"/>
          <w:numId w:val="25"/>
        </w:numPr>
        <w:spacing w:after="0"/>
        <w:ind w:left="1440"/>
        <w:rPr>
          <w:i/>
          <w:lang w:eastAsia="x-none"/>
        </w:rPr>
      </w:pPr>
      <w:r w:rsidRPr="005C19D9">
        <w:rPr>
          <w:i/>
          <w:lang w:eastAsia="x-none"/>
        </w:rPr>
        <w:t>FFS: Whether or not to support mechanism to disable skipping by eNB</w:t>
      </w:r>
    </w:p>
    <w:p w14:paraId="60D23364" w14:textId="77777777" w:rsidR="00AF500B" w:rsidRPr="005C19D9" w:rsidRDefault="00AF500B" w:rsidP="005C19D9">
      <w:pPr>
        <w:ind w:left="720"/>
        <w:rPr>
          <w:rFonts w:eastAsia="MS Mincho"/>
          <w:i/>
          <w:lang w:val="en-US"/>
        </w:rPr>
      </w:pPr>
    </w:p>
    <w:p w14:paraId="7B0A6A93" w14:textId="77777777" w:rsidR="005C19D9" w:rsidRPr="005C19D9" w:rsidRDefault="005C19D9" w:rsidP="005C19D9">
      <w:pPr>
        <w:pStyle w:val="PropObs"/>
        <w:numPr>
          <w:ilvl w:val="0"/>
          <w:numId w:val="0"/>
        </w:numPr>
        <w:ind w:left="720"/>
        <w:rPr>
          <w:rFonts w:ascii="Times New Roman" w:hAnsi="Times New Roman"/>
          <w:i/>
        </w:rPr>
      </w:pPr>
      <w:r w:rsidRPr="005C19D9">
        <w:rPr>
          <w:rFonts w:ascii="Times New Roman" w:hAnsi="Times New Roman"/>
          <w:i/>
          <w:highlight w:val="green"/>
        </w:rPr>
        <w:t>Agreement</w:t>
      </w:r>
    </w:p>
    <w:p w14:paraId="59A79524" w14:textId="77777777" w:rsidR="005C19D9" w:rsidRPr="005C19D9" w:rsidRDefault="005C19D9" w:rsidP="005C19D9">
      <w:pPr>
        <w:pStyle w:val="PropObs"/>
        <w:numPr>
          <w:ilvl w:val="0"/>
          <w:numId w:val="0"/>
        </w:numPr>
        <w:ind w:left="720"/>
        <w:rPr>
          <w:rFonts w:ascii="Times New Roman" w:hAnsi="Times New Roman"/>
          <w:b w:val="0"/>
          <w:i/>
        </w:rPr>
      </w:pPr>
      <w:r w:rsidRPr="005C19D9">
        <w:rPr>
          <w:rFonts w:ascii="Times New Roman" w:hAnsi="Times New Roman"/>
          <w:b w:val="0"/>
          <w:i/>
        </w:rPr>
        <w:t xml:space="preserve">If multi-TB grant is not enabled, a dedicated PUR allocation is associated to only a single TB and single HARQ process </w:t>
      </w:r>
    </w:p>
    <w:p w14:paraId="0D117D25" w14:textId="77777777" w:rsidR="005C19D9" w:rsidRPr="005C19D9" w:rsidRDefault="005C19D9" w:rsidP="005C19D9">
      <w:pPr>
        <w:numPr>
          <w:ilvl w:val="0"/>
          <w:numId w:val="27"/>
        </w:numPr>
        <w:spacing w:after="0"/>
        <w:ind w:left="1440"/>
        <w:rPr>
          <w:i/>
          <w:lang w:eastAsia="x-none"/>
        </w:rPr>
      </w:pPr>
      <w:r w:rsidRPr="005C19D9">
        <w:rPr>
          <w:i/>
        </w:rPr>
        <w:t>FFS: if multi-TB grant is enabled/supported</w:t>
      </w:r>
    </w:p>
    <w:p w14:paraId="72FA999A" w14:textId="77777777" w:rsidR="005C19D9" w:rsidRPr="005C19D9" w:rsidRDefault="005C19D9" w:rsidP="005C19D9">
      <w:pPr>
        <w:ind w:left="720"/>
        <w:rPr>
          <w:i/>
          <w:lang w:eastAsia="x-none"/>
        </w:rPr>
      </w:pPr>
    </w:p>
    <w:p w14:paraId="12E3ACBF" w14:textId="77777777" w:rsidR="005C19D9" w:rsidRPr="005C19D9" w:rsidRDefault="005C19D9" w:rsidP="005C19D9">
      <w:pPr>
        <w:pStyle w:val="PropObs"/>
        <w:numPr>
          <w:ilvl w:val="0"/>
          <w:numId w:val="0"/>
        </w:numPr>
        <w:ind w:left="1854" w:hanging="1134"/>
        <w:rPr>
          <w:rFonts w:ascii="Times New Roman" w:hAnsi="Times New Roman"/>
          <w:i/>
          <w:highlight w:val="green"/>
        </w:rPr>
      </w:pPr>
      <w:r w:rsidRPr="005C19D9">
        <w:rPr>
          <w:rFonts w:ascii="Times New Roman" w:hAnsi="Times New Roman"/>
          <w:i/>
          <w:highlight w:val="green"/>
        </w:rPr>
        <w:t xml:space="preserve">Agreement </w:t>
      </w:r>
    </w:p>
    <w:p w14:paraId="4366E258" w14:textId="77777777" w:rsidR="005C19D9" w:rsidRPr="005C19D9" w:rsidRDefault="005C19D9" w:rsidP="005C19D9">
      <w:pPr>
        <w:pStyle w:val="PropObs"/>
        <w:numPr>
          <w:ilvl w:val="0"/>
          <w:numId w:val="0"/>
        </w:numPr>
        <w:ind w:left="720"/>
        <w:rPr>
          <w:rFonts w:ascii="Times New Roman" w:hAnsi="Times New Roman"/>
          <w:b w:val="0"/>
          <w:i/>
        </w:rPr>
      </w:pPr>
      <w:r w:rsidRPr="005C19D9">
        <w:rPr>
          <w:rFonts w:ascii="Times New Roman" w:hAnsi="Times New Roman"/>
          <w:b w:val="0"/>
          <w:i/>
        </w:rPr>
        <w:t>In idle mode, at least the following TA validation attributes are supported:</w:t>
      </w:r>
    </w:p>
    <w:p w14:paraId="5D062455" w14:textId="77777777" w:rsidR="005C19D9" w:rsidRPr="005C19D9" w:rsidRDefault="005C19D9" w:rsidP="005C19D9">
      <w:pPr>
        <w:numPr>
          <w:ilvl w:val="0"/>
          <w:numId w:val="27"/>
        </w:numPr>
        <w:spacing w:after="0"/>
        <w:ind w:left="1440"/>
        <w:rPr>
          <w:i/>
          <w:lang w:val="en-US" w:eastAsia="x-none"/>
        </w:rPr>
      </w:pPr>
      <w:r w:rsidRPr="005C19D9">
        <w:rPr>
          <w:i/>
          <w:lang w:val="en-US" w:eastAsia="x-none"/>
        </w:rPr>
        <w:t>Serving cell changes (serving cell refers the cell that the UE is camping on)</w:t>
      </w:r>
    </w:p>
    <w:p w14:paraId="4FACACF7" w14:textId="77777777" w:rsidR="005C19D9" w:rsidRPr="005C19D9" w:rsidRDefault="005C19D9" w:rsidP="005C19D9">
      <w:pPr>
        <w:numPr>
          <w:ilvl w:val="0"/>
          <w:numId w:val="27"/>
        </w:numPr>
        <w:spacing w:after="0"/>
        <w:ind w:left="1440"/>
        <w:rPr>
          <w:i/>
          <w:lang w:val="en-US" w:eastAsia="x-none"/>
        </w:rPr>
      </w:pPr>
      <w:r w:rsidRPr="005C19D9">
        <w:rPr>
          <w:i/>
          <w:lang w:val="en-US" w:eastAsia="x-none"/>
        </w:rPr>
        <w:t xml:space="preserve">Time Alignment Timer for idle mode </w:t>
      </w:r>
    </w:p>
    <w:p w14:paraId="2E7462A3" w14:textId="77777777" w:rsidR="005C19D9" w:rsidRPr="005C19D9" w:rsidRDefault="005C19D9" w:rsidP="005C19D9">
      <w:pPr>
        <w:numPr>
          <w:ilvl w:val="0"/>
          <w:numId w:val="27"/>
        </w:numPr>
        <w:spacing w:after="0"/>
        <w:ind w:left="1440"/>
        <w:rPr>
          <w:i/>
          <w:lang w:val="en-US" w:eastAsia="x-none"/>
        </w:rPr>
      </w:pPr>
      <w:r w:rsidRPr="005C19D9">
        <w:rPr>
          <w:i/>
          <w:lang w:val="en-US" w:eastAsia="x-none"/>
        </w:rPr>
        <w:t>Serving cell RSRP changes (serving cell refers the cell that the UE is camping on)</w:t>
      </w:r>
    </w:p>
    <w:p w14:paraId="41F8D810" w14:textId="77777777" w:rsidR="005C19D9" w:rsidRPr="005C19D9" w:rsidRDefault="005C19D9" w:rsidP="005C19D9">
      <w:pPr>
        <w:numPr>
          <w:ilvl w:val="1"/>
          <w:numId w:val="27"/>
        </w:numPr>
        <w:spacing w:after="0"/>
        <w:ind w:left="2160"/>
        <w:rPr>
          <w:i/>
          <w:lang w:val="en-US" w:eastAsia="x-none"/>
        </w:rPr>
      </w:pPr>
      <w:r w:rsidRPr="005C19D9">
        <w:rPr>
          <w:i/>
          <w:lang w:val="en-US" w:eastAsia="x-none"/>
        </w:rPr>
        <w:t>Based on RSRP measurement definition in existing Rel-15 TS36.214</w:t>
      </w:r>
    </w:p>
    <w:p w14:paraId="0285B748" w14:textId="77777777" w:rsidR="005C19D9" w:rsidRPr="005C19D9" w:rsidRDefault="005C19D9" w:rsidP="005C19D9">
      <w:pPr>
        <w:ind w:left="720"/>
        <w:rPr>
          <w:i/>
          <w:lang w:eastAsia="x-none"/>
        </w:rPr>
      </w:pPr>
    </w:p>
    <w:p w14:paraId="5ED4F3FC" w14:textId="77777777" w:rsidR="005C19D9" w:rsidRPr="005C19D9" w:rsidRDefault="005C19D9" w:rsidP="005C19D9">
      <w:pPr>
        <w:pStyle w:val="PropObs"/>
        <w:numPr>
          <w:ilvl w:val="0"/>
          <w:numId w:val="0"/>
        </w:numPr>
        <w:ind w:left="1854" w:hanging="1134"/>
        <w:rPr>
          <w:rFonts w:ascii="Times New Roman" w:eastAsia="Times New Roman" w:hAnsi="Times New Roman"/>
          <w:i/>
          <w:szCs w:val="24"/>
          <w:highlight w:val="green"/>
          <w:lang w:val="en-US" w:eastAsia="en-US"/>
        </w:rPr>
      </w:pPr>
      <w:r w:rsidRPr="005C19D9">
        <w:rPr>
          <w:rFonts w:ascii="Times New Roman" w:eastAsia="Times New Roman" w:hAnsi="Times New Roman"/>
          <w:i/>
          <w:szCs w:val="24"/>
          <w:highlight w:val="green"/>
          <w:lang w:val="en-US" w:eastAsia="en-US"/>
        </w:rPr>
        <w:t>Agreement</w:t>
      </w:r>
    </w:p>
    <w:p w14:paraId="2AA0F88C" w14:textId="77777777" w:rsidR="005C19D9" w:rsidRPr="005C19D9" w:rsidRDefault="005C19D9" w:rsidP="005C19D9">
      <w:pPr>
        <w:pStyle w:val="PropObs"/>
        <w:numPr>
          <w:ilvl w:val="0"/>
          <w:numId w:val="0"/>
        </w:numPr>
        <w:ind w:left="720"/>
        <w:rPr>
          <w:rFonts w:ascii="Times New Roman" w:eastAsia="Times New Roman" w:hAnsi="Times New Roman"/>
          <w:b w:val="0"/>
          <w:i/>
          <w:szCs w:val="24"/>
          <w:lang w:val="en-US" w:eastAsia="en-US"/>
        </w:rPr>
      </w:pPr>
      <w:r w:rsidRPr="005C19D9">
        <w:rPr>
          <w:rFonts w:ascii="Times New Roman" w:eastAsia="Times New Roman" w:hAnsi="Times New Roman"/>
          <w:b w:val="0"/>
          <w:i/>
          <w:szCs w:val="24"/>
          <w:lang w:val="en-US" w:eastAsia="en-US"/>
        </w:rPr>
        <w:t>The UE can be configured to use at least these TA validation attributes:</w:t>
      </w:r>
    </w:p>
    <w:p w14:paraId="7C6BCFD9" w14:textId="77777777" w:rsidR="005C19D9" w:rsidRPr="005C19D9" w:rsidRDefault="005C19D9" w:rsidP="005C19D9">
      <w:pPr>
        <w:numPr>
          <w:ilvl w:val="0"/>
          <w:numId w:val="27"/>
        </w:numPr>
        <w:spacing w:after="0"/>
        <w:ind w:left="1440"/>
        <w:rPr>
          <w:i/>
          <w:lang w:val="en-US" w:eastAsia="x-none"/>
        </w:rPr>
      </w:pPr>
      <w:r w:rsidRPr="005C19D9">
        <w:rPr>
          <w:i/>
          <w:lang w:val="en-US" w:eastAsia="x-none"/>
        </w:rPr>
        <w:t xml:space="preserve">Time Alignment Timer for idle mode </w:t>
      </w:r>
    </w:p>
    <w:p w14:paraId="4F11B27D" w14:textId="77777777" w:rsidR="005C19D9" w:rsidRPr="005C19D9" w:rsidRDefault="005C19D9" w:rsidP="005C19D9">
      <w:pPr>
        <w:numPr>
          <w:ilvl w:val="0"/>
          <w:numId w:val="27"/>
        </w:numPr>
        <w:spacing w:after="0"/>
        <w:ind w:left="1440"/>
        <w:rPr>
          <w:i/>
          <w:lang w:val="en-US" w:eastAsia="x-none"/>
        </w:rPr>
      </w:pPr>
      <w:r w:rsidRPr="005C19D9">
        <w:rPr>
          <w:i/>
          <w:lang w:val="en-US" w:eastAsia="x-none"/>
        </w:rPr>
        <w:t xml:space="preserve">Serving cell RSRP changes </w:t>
      </w:r>
    </w:p>
    <w:p w14:paraId="74F94C95" w14:textId="77777777" w:rsidR="005C19D9" w:rsidRPr="005C19D9" w:rsidRDefault="005C19D9" w:rsidP="005C19D9">
      <w:pPr>
        <w:numPr>
          <w:ilvl w:val="0"/>
          <w:numId w:val="27"/>
        </w:numPr>
        <w:spacing w:after="0"/>
        <w:ind w:left="1440"/>
        <w:rPr>
          <w:i/>
          <w:lang w:val="en-US" w:eastAsia="x-none"/>
        </w:rPr>
      </w:pPr>
      <w:r w:rsidRPr="005C19D9">
        <w:rPr>
          <w:i/>
          <w:lang w:val="en-US" w:eastAsia="x-none"/>
        </w:rPr>
        <w:t>Note: the configuration shall support disabling of the TA validation attributes</w:t>
      </w:r>
    </w:p>
    <w:p w14:paraId="1AFBF4E8" w14:textId="77777777" w:rsidR="005C19D9" w:rsidRPr="005C19D9" w:rsidRDefault="005C19D9" w:rsidP="005C19D9">
      <w:pPr>
        <w:ind w:left="720"/>
        <w:rPr>
          <w:b/>
          <w:i/>
          <w:highlight w:val="green"/>
          <w:lang w:eastAsia="zh-CN"/>
        </w:rPr>
      </w:pPr>
      <w:r w:rsidRPr="005C19D9">
        <w:rPr>
          <w:b/>
          <w:i/>
          <w:highlight w:val="green"/>
          <w:lang w:eastAsia="zh-CN"/>
        </w:rPr>
        <w:t>Agreement</w:t>
      </w:r>
    </w:p>
    <w:p w14:paraId="4EEF16A9" w14:textId="77777777" w:rsidR="005C19D9" w:rsidRPr="005C19D9" w:rsidRDefault="005C19D9" w:rsidP="005C19D9">
      <w:pPr>
        <w:ind w:left="720"/>
        <w:rPr>
          <w:i/>
          <w:kern w:val="2"/>
        </w:rPr>
      </w:pPr>
      <w:r w:rsidRPr="005C19D9">
        <w:rPr>
          <w:i/>
          <w:kern w:val="2"/>
        </w:rPr>
        <w:t>For dedicated PUR in idle mode, UL grant for HARQ retransmission is transmitted in MPDCCH search space</w:t>
      </w:r>
    </w:p>
    <w:p w14:paraId="45453BF1" w14:textId="77777777" w:rsidR="005C19D9" w:rsidRPr="005C19D9" w:rsidRDefault="005C19D9" w:rsidP="005C19D9">
      <w:pPr>
        <w:numPr>
          <w:ilvl w:val="0"/>
          <w:numId w:val="25"/>
        </w:numPr>
        <w:spacing w:after="0"/>
        <w:ind w:left="1440"/>
        <w:rPr>
          <w:i/>
          <w:kern w:val="2"/>
        </w:rPr>
      </w:pPr>
      <w:r w:rsidRPr="005C19D9">
        <w:rPr>
          <w:i/>
          <w:kern w:val="2"/>
        </w:rPr>
        <w:t>FFS: Details on the search space (for example USS, CSS)</w:t>
      </w:r>
    </w:p>
    <w:p w14:paraId="0C1971A2" w14:textId="77777777" w:rsidR="005C19D9" w:rsidRPr="005C19D9" w:rsidRDefault="005C19D9" w:rsidP="005C19D9">
      <w:pPr>
        <w:ind w:left="720"/>
        <w:rPr>
          <w:i/>
          <w:lang w:eastAsia="x-none"/>
        </w:rPr>
      </w:pPr>
    </w:p>
    <w:p w14:paraId="4729089A" w14:textId="77777777" w:rsidR="005C19D9" w:rsidRPr="005C19D9" w:rsidRDefault="005C19D9" w:rsidP="005C19D9">
      <w:pPr>
        <w:pStyle w:val="PropObs"/>
        <w:numPr>
          <w:ilvl w:val="0"/>
          <w:numId w:val="0"/>
        </w:numPr>
        <w:ind w:left="720"/>
        <w:rPr>
          <w:rFonts w:ascii="Times New Roman" w:hAnsi="Times New Roman"/>
          <w:i/>
          <w:highlight w:val="green"/>
        </w:rPr>
      </w:pPr>
      <w:r w:rsidRPr="005C19D9">
        <w:rPr>
          <w:rFonts w:ascii="Times New Roman" w:hAnsi="Times New Roman"/>
          <w:i/>
          <w:highlight w:val="green"/>
        </w:rPr>
        <w:t>Agreement</w:t>
      </w:r>
    </w:p>
    <w:p w14:paraId="0C3BD0FE" w14:textId="77777777" w:rsidR="005C19D9" w:rsidRPr="005C19D9" w:rsidRDefault="005C19D9" w:rsidP="005C19D9">
      <w:pPr>
        <w:pStyle w:val="PropObs"/>
        <w:numPr>
          <w:ilvl w:val="0"/>
          <w:numId w:val="0"/>
        </w:numPr>
        <w:ind w:left="720"/>
        <w:rPr>
          <w:rFonts w:ascii="Times New Roman" w:hAnsi="Times New Roman"/>
          <w:b w:val="0"/>
          <w:i/>
        </w:rPr>
      </w:pPr>
      <w:r w:rsidRPr="005C19D9">
        <w:rPr>
          <w:rFonts w:ascii="Times New Roman" w:hAnsi="Times New Roman"/>
          <w:b w:val="0"/>
          <w:i/>
        </w:rPr>
        <w:t xml:space="preserve">For dedicated PUR in idle mode, upon successful decoding by eNB of a PUR transmission, the UE can expect an explicit ACK </w:t>
      </w:r>
    </w:p>
    <w:p w14:paraId="6DCD59F7" w14:textId="77777777" w:rsidR="005C19D9" w:rsidRPr="005C19D9" w:rsidRDefault="005C19D9" w:rsidP="005C19D9">
      <w:pPr>
        <w:ind w:left="720"/>
        <w:rPr>
          <w:i/>
          <w:lang w:eastAsia="x-none"/>
        </w:rPr>
      </w:pPr>
      <w:r w:rsidRPr="005C19D9">
        <w:rPr>
          <w:rFonts w:eastAsia="MS Mincho"/>
          <w:i/>
          <w:lang w:eastAsia="sv-SE"/>
        </w:rPr>
        <w:t>FFS: if ACK is sent on MPDCCH (layer 1) and/or PDSCH (layer 2/3)</w:t>
      </w:r>
    </w:p>
    <w:p w14:paraId="7A0153AF" w14:textId="77777777" w:rsidR="005C19D9" w:rsidRPr="005C19D9" w:rsidRDefault="005C19D9" w:rsidP="005C19D9">
      <w:pPr>
        <w:ind w:left="720"/>
        <w:rPr>
          <w:i/>
          <w:lang w:eastAsia="x-none"/>
        </w:rPr>
      </w:pPr>
    </w:p>
    <w:p w14:paraId="1FF463A0" w14:textId="77777777" w:rsidR="005C19D9" w:rsidRPr="005C19D9" w:rsidRDefault="005C19D9" w:rsidP="005C19D9">
      <w:pPr>
        <w:pStyle w:val="PropObs"/>
        <w:numPr>
          <w:ilvl w:val="0"/>
          <w:numId w:val="0"/>
        </w:numPr>
        <w:ind w:left="1854" w:hanging="1134"/>
        <w:rPr>
          <w:rFonts w:ascii="Times New Roman" w:hAnsi="Times New Roman"/>
          <w:i/>
          <w:highlight w:val="green"/>
        </w:rPr>
      </w:pPr>
      <w:r w:rsidRPr="005C19D9">
        <w:rPr>
          <w:rFonts w:ascii="Times New Roman" w:hAnsi="Times New Roman"/>
          <w:i/>
          <w:highlight w:val="green"/>
        </w:rPr>
        <w:t>Agreement</w:t>
      </w:r>
    </w:p>
    <w:p w14:paraId="7D9EBF1F" w14:textId="77777777" w:rsidR="005C19D9" w:rsidRPr="005C19D9" w:rsidRDefault="005C19D9" w:rsidP="005C19D9">
      <w:pPr>
        <w:pStyle w:val="PropObs"/>
        <w:numPr>
          <w:ilvl w:val="0"/>
          <w:numId w:val="0"/>
        </w:numPr>
        <w:ind w:left="720"/>
        <w:rPr>
          <w:rFonts w:ascii="Times New Roman" w:hAnsi="Times New Roman"/>
          <w:b w:val="0"/>
          <w:i/>
        </w:rPr>
      </w:pPr>
      <w:r w:rsidRPr="005C19D9">
        <w:rPr>
          <w:rFonts w:ascii="Times New Roman" w:hAnsi="Times New Roman"/>
          <w:b w:val="0"/>
          <w:i/>
        </w:rPr>
        <w:t>For dedicated PUR in idle mode, upon unsuccessful decoding by eNB of a PUR transmission, the UE can expect</w:t>
      </w:r>
    </w:p>
    <w:p w14:paraId="4E170BD6" w14:textId="77777777" w:rsidR="005C19D9" w:rsidRPr="005C19D9" w:rsidRDefault="005C19D9" w:rsidP="005C19D9">
      <w:pPr>
        <w:numPr>
          <w:ilvl w:val="0"/>
          <w:numId w:val="25"/>
        </w:numPr>
        <w:spacing w:after="0"/>
        <w:ind w:left="1440"/>
        <w:rPr>
          <w:i/>
          <w:kern w:val="2"/>
        </w:rPr>
      </w:pPr>
      <w:r w:rsidRPr="005C19D9">
        <w:rPr>
          <w:i/>
          <w:kern w:val="2"/>
        </w:rPr>
        <w:t xml:space="preserve">an UL GRANT for retransmission on the MPDCCH, or  </w:t>
      </w:r>
    </w:p>
    <w:p w14:paraId="652DE915" w14:textId="77777777" w:rsidR="005C19D9" w:rsidRPr="005C19D9" w:rsidRDefault="005C19D9" w:rsidP="005C19D9">
      <w:pPr>
        <w:numPr>
          <w:ilvl w:val="0"/>
          <w:numId w:val="25"/>
        </w:numPr>
        <w:spacing w:after="0"/>
        <w:ind w:left="1440"/>
        <w:rPr>
          <w:i/>
          <w:kern w:val="2"/>
        </w:rPr>
      </w:pPr>
      <w:r w:rsidRPr="005C19D9">
        <w:rPr>
          <w:i/>
          <w:kern w:val="2"/>
        </w:rPr>
        <w:t>FFS: a NACK, or</w:t>
      </w:r>
    </w:p>
    <w:p w14:paraId="2D53AA64" w14:textId="77777777" w:rsidR="005C19D9" w:rsidRPr="005C19D9" w:rsidRDefault="005C19D9" w:rsidP="005C19D9">
      <w:pPr>
        <w:numPr>
          <w:ilvl w:val="0"/>
          <w:numId w:val="25"/>
        </w:numPr>
        <w:spacing w:after="0"/>
        <w:ind w:left="1440"/>
        <w:rPr>
          <w:i/>
          <w:kern w:val="2"/>
        </w:rPr>
      </w:pPr>
      <w:r w:rsidRPr="005C19D9">
        <w:rPr>
          <w:i/>
          <w:kern w:val="2"/>
        </w:rPr>
        <w:t xml:space="preserve">FFS: no explicit ACK </w:t>
      </w:r>
    </w:p>
    <w:p w14:paraId="7DBC770C" w14:textId="77777777" w:rsidR="005C19D9" w:rsidRDefault="005C19D9" w:rsidP="00855F39">
      <w:pPr>
        <w:rPr>
          <w:rFonts w:eastAsia="MS Mincho"/>
          <w:lang w:val="en-US"/>
        </w:rPr>
      </w:pPr>
    </w:p>
    <w:p w14:paraId="422FF475" w14:textId="77777777" w:rsidR="00855F39" w:rsidRDefault="004D5BF4" w:rsidP="00855F39">
      <w:pPr>
        <w:rPr>
          <w:rFonts w:eastAsia="MS Mincho"/>
          <w:lang w:val="en-US"/>
        </w:rPr>
      </w:pPr>
      <w:r>
        <w:rPr>
          <w:rFonts w:eastAsia="MS Mincho"/>
          <w:lang w:val="en-US"/>
        </w:rPr>
        <w:lastRenderedPageBreak/>
        <w:t xml:space="preserve">This contribution </w:t>
      </w:r>
      <w:r w:rsidR="00F912B3">
        <w:rPr>
          <w:rFonts w:eastAsia="MS Mincho"/>
          <w:lang w:val="en-US"/>
        </w:rPr>
        <w:t xml:space="preserve">discusses some </w:t>
      </w:r>
      <w:r w:rsidR="005C19D9">
        <w:rPr>
          <w:rFonts w:eastAsia="MS Mincho"/>
          <w:lang w:val="en-US"/>
        </w:rPr>
        <w:t xml:space="preserve">remaining </w:t>
      </w:r>
      <w:r w:rsidR="00F912B3">
        <w:rPr>
          <w:rFonts w:eastAsia="MS Mincho"/>
          <w:lang w:val="en-US"/>
        </w:rPr>
        <w:t>considerations on</w:t>
      </w:r>
      <w:r w:rsidR="005C19D9">
        <w:rPr>
          <w:rFonts w:eastAsia="MS Mincho"/>
          <w:lang w:val="en-US"/>
        </w:rPr>
        <w:t xml:space="preserve"> dedicated PUR</w:t>
      </w:r>
      <w:r w:rsidR="00AF500B">
        <w:rPr>
          <w:rFonts w:eastAsia="MS Mincho"/>
          <w:lang w:val="en-US"/>
        </w:rPr>
        <w:t>.</w:t>
      </w:r>
      <w:r w:rsidR="00855F39">
        <w:rPr>
          <w:rFonts w:eastAsia="MS Mincho"/>
          <w:lang w:val="en-US"/>
        </w:rPr>
        <w:t xml:space="preserve">  </w:t>
      </w:r>
    </w:p>
    <w:p w14:paraId="44C1F1F6" w14:textId="77777777" w:rsidR="00855F39" w:rsidRDefault="00855F39" w:rsidP="00855F39">
      <w:pPr>
        <w:rPr>
          <w:rFonts w:eastAsia="MS Mincho"/>
          <w:lang w:val="en-US"/>
        </w:rPr>
      </w:pPr>
    </w:p>
    <w:p w14:paraId="5F6C52D1" w14:textId="77777777" w:rsidR="00F912B3" w:rsidRDefault="00855F39"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Discussions</w:t>
      </w:r>
    </w:p>
    <w:p w14:paraId="59B1FDB5" w14:textId="77777777" w:rsidR="005C19D9" w:rsidRDefault="005C19D9" w:rsidP="005C19D9">
      <w:pPr>
        <w:pStyle w:val="Heading2"/>
        <w:numPr>
          <w:ilvl w:val="1"/>
          <w:numId w:val="8"/>
        </w:numPr>
        <w:rPr>
          <w:lang w:val="en-US"/>
        </w:rPr>
      </w:pPr>
      <w:r>
        <w:rPr>
          <w:lang w:val="en-US"/>
        </w:rPr>
        <w:t>TA Validation</w:t>
      </w:r>
    </w:p>
    <w:p w14:paraId="1C5EE42B" w14:textId="77777777" w:rsidR="00C246F3" w:rsidRDefault="005C19D9" w:rsidP="00C246F3">
      <w:pPr>
        <w:rPr>
          <w:lang w:val="en-US"/>
        </w:rPr>
      </w:pPr>
      <w:r>
        <w:rPr>
          <w:lang w:val="en-US"/>
        </w:rPr>
        <w:t xml:space="preserve">One of the methods for TA validation is based on serving cell RSRP changes.  </w:t>
      </w:r>
      <w:r w:rsidR="000F2691">
        <w:rPr>
          <w:lang w:val="en-US"/>
        </w:rPr>
        <w:t>However, we have not agreed on how to use this RSRP attribute.  One suggestion is that the TA is invalid if the changes to the RSRP</w:t>
      </w:r>
      <w:r w:rsidR="003A1646">
        <w:rPr>
          <w:lang w:val="en-US"/>
        </w:rPr>
        <w:t>,</w:t>
      </w:r>
      <w:r w:rsidR="000F2691">
        <w:rPr>
          <w:lang w:val="en-US"/>
        </w:rPr>
        <w:t xml:space="preserve"> </w:t>
      </w:r>
      <w:r w:rsidR="00492A87">
        <w:rPr>
          <w:lang w:val="en-US"/>
        </w:rPr>
        <w:sym w:font="Symbol" w:char="F044"/>
      </w:r>
      <w:r w:rsidR="00492A87" w:rsidRPr="00492A87">
        <w:rPr>
          <w:i/>
          <w:lang w:val="en-US"/>
        </w:rPr>
        <w:t>RSRP</w:t>
      </w:r>
      <w:r w:rsidR="00492A87">
        <w:rPr>
          <w:lang w:val="en-US"/>
        </w:rPr>
        <w:t xml:space="preserve">, </w:t>
      </w:r>
      <w:r w:rsidR="000F2691">
        <w:rPr>
          <w:lang w:val="en-US"/>
        </w:rPr>
        <w:t>is above a threshold</w:t>
      </w:r>
      <w:r w:rsidR="00492A87">
        <w:rPr>
          <w:lang w:val="en-US"/>
        </w:rPr>
        <w:t xml:space="preserve"> </w:t>
      </w:r>
      <w:r w:rsidR="00492A87" w:rsidRPr="00492A87">
        <w:rPr>
          <w:i/>
          <w:lang w:val="en-US"/>
        </w:rPr>
        <w:t>T</w:t>
      </w:r>
      <w:r w:rsidR="00492A87" w:rsidRPr="00492A87">
        <w:rPr>
          <w:i/>
          <w:vertAlign w:val="subscript"/>
          <w:lang w:val="en-US"/>
        </w:rPr>
        <w:t>TA</w:t>
      </w:r>
      <w:r w:rsidR="000F2691">
        <w:rPr>
          <w:lang w:val="en-US"/>
        </w:rPr>
        <w:t xml:space="preserve">, </w:t>
      </w:r>
      <w:r w:rsidR="00492A87">
        <w:rPr>
          <w:lang w:val="en-US"/>
        </w:rPr>
        <w:t xml:space="preserve">i.e. </w:t>
      </w:r>
    </w:p>
    <w:p w14:paraId="7F64102C" w14:textId="77777777" w:rsidR="00C246F3" w:rsidRDefault="00492A87" w:rsidP="00C246F3">
      <w:pPr>
        <w:jc w:val="center"/>
        <w:rPr>
          <w:lang w:val="en-US"/>
        </w:rPr>
      </w:pPr>
      <w:r>
        <w:rPr>
          <w:lang w:val="en-US"/>
        </w:rPr>
        <w:t xml:space="preserve">TA is invalid if </w:t>
      </w:r>
      <w:r>
        <w:rPr>
          <w:lang w:val="en-US"/>
        </w:rPr>
        <w:sym w:font="Symbol" w:char="F044"/>
      </w:r>
      <w:r w:rsidRPr="00492A87">
        <w:rPr>
          <w:i/>
          <w:lang w:val="en-US"/>
        </w:rPr>
        <w:t>RSRP</w:t>
      </w:r>
      <w:r>
        <w:rPr>
          <w:lang w:val="en-US"/>
        </w:rPr>
        <w:t xml:space="preserve"> &gt; </w:t>
      </w:r>
      <w:r w:rsidRPr="00492A87">
        <w:rPr>
          <w:i/>
          <w:lang w:val="en-US"/>
        </w:rPr>
        <w:t>T</w:t>
      </w:r>
      <w:r w:rsidRPr="00492A87">
        <w:rPr>
          <w:i/>
          <w:vertAlign w:val="subscript"/>
          <w:lang w:val="en-US"/>
        </w:rPr>
        <w:t>TA</w:t>
      </w:r>
      <w:r>
        <w:rPr>
          <w:lang w:val="en-US"/>
        </w:rPr>
        <w:t>,</w:t>
      </w:r>
      <w:r w:rsidR="00C246F3">
        <w:rPr>
          <w:lang w:val="en-US"/>
        </w:rPr>
        <w:t xml:space="preserve"> otherwise TA is valid</w:t>
      </w:r>
    </w:p>
    <w:p w14:paraId="3CCD5DEC" w14:textId="6947A322" w:rsidR="00C246F3" w:rsidRDefault="00492A87" w:rsidP="005C19D9">
      <w:pPr>
        <w:rPr>
          <w:lang w:val="en-US"/>
        </w:rPr>
      </w:pPr>
      <w:r>
        <w:rPr>
          <w:lang w:val="en-US"/>
        </w:rPr>
        <w:t xml:space="preserve">where </w:t>
      </w:r>
      <w:r>
        <w:rPr>
          <w:lang w:val="en-US"/>
        </w:rPr>
        <w:sym w:font="Symbol" w:char="F044"/>
      </w:r>
      <w:r w:rsidRPr="00492A87">
        <w:rPr>
          <w:i/>
          <w:lang w:val="en-US"/>
        </w:rPr>
        <w:t>RSRP</w:t>
      </w:r>
      <w:r>
        <w:rPr>
          <w:lang w:val="en-US"/>
        </w:rPr>
        <w:t xml:space="preserve"> = |RSRP at </w:t>
      </w:r>
      <w:r w:rsidRPr="00492A87">
        <w:rPr>
          <w:i/>
          <w:lang w:val="en-US"/>
        </w:rPr>
        <w:t>t</w:t>
      </w:r>
      <w:r w:rsidRPr="00492A87">
        <w:rPr>
          <w:vertAlign w:val="subscript"/>
          <w:lang w:val="en-US"/>
        </w:rPr>
        <w:t>1</w:t>
      </w:r>
      <w:r>
        <w:rPr>
          <w:lang w:val="en-US"/>
        </w:rPr>
        <w:t xml:space="preserve"> – RSRP at </w:t>
      </w:r>
      <w:r w:rsidRPr="00492A87">
        <w:rPr>
          <w:i/>
          <w:lang w:val="en-US"/>
        </w:rPr>
        <w:t>t</w:t>
      </w:r>
      <w:r w:rsidRPr="00492A87">
        <w:rPr>
          <w:vertAlign w:val="subscript"/>
          <w:lang w:val="en-US"/>
        </w:rPr>
        <w:t>0</w:t>
      </w:r>
      <w:r>
        <w:rPr>
          <w:lang w:val="en-US"/>
        </w:rPr>
        <w:t xml:space="preserve">| where </w:t>
      </w:r>
      <w:r w:rsidRPr="00492A87">
        <w:rPr>
          <w:i/>
          <w:lang w:val="en-US"/>
        </w:rPr>
        <w:t>t</w:t>
      </w:r>
      <w:r w:rsidRPr="00492A87">
        <w:rPr>
          <w:vertAlign w:val="subscript"/>
          <w:lang w:val="en-US"/>
        </w:rPr>
        <w:t>1</w:t>
      </w:r>
      <w:r>
        <w:rPr>
          <w:lang w:val="en-US"/>
        </w:rPr>
        <w:t xml:space="preserve"> &gt; </w:t>
      </w:r>
      <w:r w:rsidRPr="00492A87">
        <w:rPr>
          <w:i/>
          <w:lang w:val="en-US"/>
        </w:rPr>
        <w:t>t</w:t>
      </w:r>
      <w:r w:rsidRPr="00492A87">
        <w:rPr>
          <w:vertAlign w:val="subscript"/>
          <w:lang w:val="en-US"/>
        </w:rPr>
        <w:t>0</w:t>
      </w:r>
      <w:r>
        <w:rPr>
          <w:lang w:val="en-US"/>
        </w:rPr>
        <w:t xml:space="preserve"> and the time, or periodicity of the RSRP measurement</w:t>
      </w:r>
      <w:r w:rsidR="00D05592">
        <w:rPr>
          <w:lang w:val="en-US"/>
        </w:rPr>
        <w:t>, which</w:t>
      </w:r>
      <w:r>
        <w:rPr>
          <w:lang w:val="en-US"/>
        </w:rPr>
        <w:t xml:space="preserve"> is according to RAN4 measurement requirements.</w:t>
      </w:r>
      <w:r w:rsidR="007D3E92">
        <w:rPr>
          <w:lang w:val="en-US"/>
        </w:rPr>
        <w:t xml:space="preserve"> </w:t>
      </w:r>
    </w:p>
    <w:p w14:paraId="2D98FCFA" w14:textId="5EF63307" w:rsidR="005C19D9" w:rsidRDefault="007D3E92" w:rsidP="005C19D9">
      <w:pPr>
        <w:rPr>
          <w:lang w:val="en-US"/>
        </w:rPr>
      </w:pPr>
      <w:r>
        <w:rPr>
          <w:lang w:val="en-US"/>
        </w:rPr>
        <w:t xml:space="preserve">Introducing a threshold </w:t>
      </w:r>
      <w:r w:rsidRPr="007D3E92">
        <w:rPr>
          <w:i/>
          <w:lang w:val="en-US"/>
        </w:rPr>
        <w:t>T</w:t>
      </w:r>
      <w:r w:rsidRPr="007D3E92">
        <w:rPr>
          <w:i/>
          <w:vertAlign w:val="subscript"/>
          <w:lang w:val="en-US"/>
        </w:rPr>
        <w:t>TA</w:t>
      </w:r>
      <w:r>
        <w:rPr>
          <w:lang w:val="en-US"/>
        </w:rPr>
        <w:t xml:space="preserve"> is a logical way to utilize this </w:t>
      </w:r>
      <w:r>
        <w:rPr>
          <w:lang w:val="en-US"/>
        </w:rPr>
        <w:sym w:font="Symbol" w:char="F044"/>
      </w:r>
      <w:r w:rsidRPr="00492A87">
        <w:rPr>
          <w:i/>
          <w:lang w:val="en-US"/>
        </w:rPr>
        <w:t>RSRP</w:t>
      </w:r>
      <w:r>
        <w:rPr>
          <w:lang w:val="en-US"/>
        </w:rPr>
        <w:t xml:space="preserve"> attribute since changes to RSRP gives an indication </w:t>
      </w:r>
      <w:r w:rsidR="003A1646">
        <w:rPr>
          <w:lang w:val="en-US"/>
        </w:rPr>
        <w:t xml:space="preserve">of </w:t>
      </w:r>
      <w:r>
        <w:rPr>
          <w:lang w:val="en-US"/>
        </w:rPr>
        <w:t xml:space="preserve">the changes in relative distance with the serving eNB.  </w:t>
      </w:r>
      <w:r w:rsidR="00C246F3">
        <w:rPr>
          <w:lang w:val="en-US"/>
        </w:rPr>
        <w:t xml:space="preserve">It should be appreciated that the relationship between RSRP and distance is not linear but an inverse power, i.e. </w:t>
      </w:r>
      <m:oMath>
        <m:r>
          <w:rPr>
            <w:rFonts w:ascii="Cambria Math" w:hAnsi="Cambria Math"/>
            <w:lang w:val="en-US"/>
          </w:rPr>
          <m:t>RSRP∝</m:t>
        </m:r>
        <m:f>
          <m:fPr>
            <m:ctrlPr>
              <w:rPr>
                <w:rFonts w:ascii="Cambria Math" w:hAnsi="Cambria Math"/>
                <w:i/>
                <w:lang w:val="en-US"/>
              </w:rPr>
            </m:ctrlPr>
          </m:fPr>
          <m:num>
            <m:r>
              <w:rPr>
                <w:rFonts w:ascii="Cambria Math" w:hAnsi="Cambria Math"/>
                <w:lang w:val="en-US"/>
              </w:rPr>
              <m:t>1</m:t>
            </m:r>
          </m:num>
          <m:den>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x</m:t>
                </m:r>
              </m:sup>
            </m:sSup>
          </m:den>
        </m:f>
      </m:oMath>
      <w:r w:rsidR="00C246F3">
        <w:rPr>
          <w:lang w:val="en-US"/>
        </w:rPr>
        <w:t xml:space="preserve">, where </w:t>
      </w:r>
      <w:r w:rsidR="00C246F3" w:rsidRPr="00C246F3">
        <w:rPr>
          <w:i/>
          <w:lang w:val="en-US"/>
        </w:rPr>
        <w:t>d</w:t>
      </w:r>
      <w:r w:rsidR="00C246F3">
        <w:rPr>
          <w:lang w:val="en-US"/>
        </w:rPr>
        <w:t xml:space="preserve"> is the distance between the UE and the eNB.  Since this relationship is not linear, the threshold </w:t>
      </w:r>
      <w:r w:rsidR="00C246F3" w:rsidRPr="00C246F3">
        <w:rPr>
          <w:i/>
          <w:lang w:val="en-US"/>
        </w:rPr>
        <w:t>T</w:t>
      </w:r>
      <w:r w:rsidR="00C246F3" w:rsidRPr="00C246F3">
        <w:rPr>
          <w:i/>
          <w:vertAlign w:val="subscript"/>
          <w:lang w:val="en-US"/>
        </w:rPr>
        <w:t>TA</w:t>
      </w:r>
      <w:r w:rsidR="00C246F3">
        <w:rPr>
          <w:lang w:val="en-US"/>
        </w:rPr>
        <w:t xml:space="preserve"> needs to be dynamic.</w:t>
      </w:r>
    </w:p>
    <w:p w14:paraId="612DDF48" w14:textId="77777777" w:rsidR="00C246F3" w:rsidRPr="00C246F3" w:rsidRDefault="00C246F3" w:rsidP="005C19D9">
      <w:pPr>
        <w:rPr>
          <w:b/>
          <w:lang w:val="en-US"/>
        </w:rPr>
      </w:pPr>
      <w:r w:rsidRPr="00C246F3">
        <w:rPr>
          <w:b/>
          <w:lang w:val="en-US"/>
        </w:rPr>
        <w:t xml:space="preserve">Observation 1: If a threshold </w:t>
      </w:r>
      <w:r w:rsidRPr="00C246F3">
        <w:rPr>
          <w:b/>
          <w:i/>
          <w:lang w:val="en-US"/>
        </w:rPr>
        <w:t>T</w:t>
      </w:r>
      <w:r w:rsidRPr="00C246F3">
        <w:rPr>
          <w:b/>
          <w:i/>
          <w:vertAlign w:val="subscript"/>
          <w:lang w:val="en-US"/>
        </w:rPr>
        <w:t>TA</w:t>
      </w:r>
      <w:r w:rsidRPr="00C246F3">
        <w:rPr>
          <w:b/>
          <w:lang w:val="en-US"/>
        </w:rPr>
        <w:t xml:space="preserve">, is defined when using serving cell RSRP changes </w:t>
      </w:r>
      <w:r w:rsidRPr="00C246F3">
        <w:rPr>
          <w:b/>
          <w:lang w:val="en-US"/>
        </w:rPr>
        <w:sym w:font="Symbol" w:char="F044"/>
      </w:r>
      <w:r w:rsidRPr="00C246F3">
        <w:rPr>
          <w:b/>
          <w:i/>
          <w:lang w:val="en-US"/>
        </w:rPr>
        <w:t>RSRP</w:t>
      </w:r>
      <w:r w:rsidRPr="00C246F3">
        <w:rPr>
          <w:b/>
          <w:lang w:val="en-US"/>
        </w:rPr>
        <w:t>, to evaluate the validity of the Timing Advance, this threshold needs to be dynamic since the relationship between RSRP and distance is non-linear.</w:t>
      </w:r>
    </w:p>
    <w:p w14:paraId="37DBAC8A" w14:textId="77777777" w:rsidR="0048511E" w:rsidRDefault="0048511E" w:rsidP="0041482F">
      <w:pPr>
        <w:rPr>
          <w:rFonts w:eastAsia="MS Mincho"/>
          <w:lang w:val="en-US"/>
        </w:rPr>
      </w:pPr>
    </w:p>
    <w:p w14:paraId="01770CBE" w14:textId="77777777" w:rsidR="0023091B" w:rsidRDefault="00D3258A" w:rsidP="0023091B">
      <w:pPr>
        <w:rPr>
          <w:rFonts w:eastAsia="MS Mincho"/>
          <w:lang w:val="en-US"/>
        </w:rPr>
      </w:pPr>
      <w:r>
        <w:rPr>
          <w:rFonts w:eastAsia="MS Mincho"/>
          <w:lang w:val="en-US"/>
        </w:rPr>
        <w:t xml:space="preserve">Assume that a TA </w:t>
      </w:r>
      <w:r w:rsidR="000D7B2E">
        <w:rPr>
          <w:rFonts w:eastAsia="MS Mincho"/>
          <w:lang w:val="en-US"/>
        </w:rPr>
        <w:t xml:space="preserve">is valid if it is </w:t>
      </w:r>
      <w:r>
        <w:rPr>
          <w:rFonts w:eastAsia="MS Mincho"/>
          <w:lang w:val="en-US"/>
        </w:rPr>
        <w:t xml:space="preserve">within 10% of the normal cyclic prefix duration or </w:t>
      </w:r>
      <w:r w:rsidR="000D7B2E">
        <w:rPr>
          <w:rFonts w:eastAsia="MS Mincho"/>
          <w:lang w:val="en-US"/>
        </w:rPr>
        <w:t xml:space="preserve">about </w:t>
      </w:r>
      <w:r w:rsidR="00233CA5">
        <w:rPr>
          <w:rFonts w:eastAsia="MS Mincho"/>
          <w:lang w:val="en-US"/>
        </w:rPr>
        <w:t xml:space="preserve">470 ns and we define this TA of 470 ns as a TA step size </w:t>
      </w:r>
      <w:r w:rsidR="00233CA5">
        <w:rPr>
          <w:rFonts w:eastAsia="MS Mincho"/>
          <w:lang w:val="en-US"/>
        </w:rPr>
        <w:sym w:font="Symbol" w:char="F044"/>
      </w:r>
      <w:r w:rsidR="00233CA5" w:rsidRPr="00233CA5">
        <w:rPr>
          <w:rFonts w:eastAsia="MS Mincho"/>
          <w:i/>
          <w:lang w:val="en-US"/>
        </w:rPr>
        <w:t>TA</w:t>
      </w:r>
      <w:r w:rsidR="00233CA5">
        <w:rPr>
          <w:rFonts w:eastAsia="MS Mincho"/>
          <w:lang w:val="en-US"/>
        </w:rPr>
        <w:t xml:space="preserve">.  The RSRP in dBm under a Hata propagation model as a function of </w:t>
      </w:r>
      <w:r w:rsidR="00233CA5">
        <w:rPr>
          <w:rFonts w:eastAsia="MS Mincho"/>
          <w:lang w:val="en-US"/>
        </w:rPr>
        <w:sym w:font="Symbol" w:char="F044"/>
      </w:r>
      <w:r w:rsidR="00233CA5" w:rsidRPr="00233CA5">
        <w:rPr>
          <w:rFonts w:eastAsia="MS Mincho"/>
          <w:i/>
          <w:lang w:val="en-US"/>
        </w:rPr>
        <w:t>TA</w:t>
      </w:r>
      <w:r w:rsidR="00233CA5">
        <w:rPr>
          <w:rFonts w:eastAsia="MS Mincho"/>
          <w:lang w:val="en-US"/>
        </w:rPr>
        <w:t xml:space="preserve"> is shown in </w:t>
      </w:r>
      <w:r w:rsidR="00233CA5">
        <w:rPr>
          <w:rFonts w:eastAsia="MS Mincho"/>
          <w:lang w:val="en-US"/>
        </w:rPr>
        <w:fldChar w:fldCharType="begin"/>
      </w:r>
      <w:r w:rsidR="00233CA5">
        <w:rPr>
          <w:rFonts w:eastAsia="MS Mincho"/>
          <w:lang w:val="en-US"/>
        </w:rPr>
        <w:instrText xml:space="preserve"> REF _Ref1127060 \h </w:instrText>
      </w:r>
      <w:r w:rsidR="00233CA5">
        <w:rPr>
          <w:rFonts w:eastAsia="MS Mincho"/>
          <w:lang w:val="en-US"/>
        </w:rPr>
      </w:r>
      <w:r w:rsidR="00233CA5">
        <w:rPr>
          <w:rFonts w:eastAsia="MS Mincho"/>
          <w:lang w:val="en-US"/>
        </w:rPr>
        <w:fldChar w:fldCharType="separate"/>
      </w:r>
      <w:r w:rsidR="00233CA5">
        <w:t xml:space="preserve">Figure </w:t>
      </w:r>
      <w:r w:rsidR="00233CA5">
        <w:rPr>
          <w:noProof/>
        </w:rPr>
        <w:t>1</w:t>
      </w:r>
      <w:r w:rsidR="00233CA5">
        <w:rPr>
          <w:rFonts w:eastAsia="MS Mincho"/>
          <w:lang w:val="en-US"/>
        </w:rPr>
        <w:fldChar w:fldCharType="end"/>
      </w:r>
      <w:r w:rsidR="003A1646">
        <w:rPr>
          <w:rFonts w:eastAsia="MS Mincho"/>
          <w:lang w:val="en-US"/>
        </w:rPr>
        <w:t xml:space="preserve"> (the cell is assumed to be dimensioned to ensure RSRP = -100dBm at a cell edge distance of 500m = 7 * c</w:t>
      </w:r>
      <w:r w:rsidR="0095028A">
        <w:rPr>
          <w:rFonts w:eastAsia="MS Mincho"/>
          <w:lang w:val="en-US"/>
        </w:rPr>
        <w:t xml:space="preserve"> </w:t>
      </w:r>
      <w:r w:rsidR="003A1646">
        <w:rPr>
          <w:rFonts w:eastAsia="MS Mincho"/>
          <w:lang w:val="en-US"/>
        </w:rPr>
        <w:t xml:space="preserve">* </w:t>
      </w:r>
      <w:r w:rsidR="003A1646">
        <w:rPr>
          <w:rFonts w:eastAsia="MS Mincho"/>
          <w:lang w:val="en-US"/>
        </w:rPr>
        <w:sym w:font="Symbol" w:char="F044"/>
      </w:r>
      <w:r w:rsidR="003A1646" w:rsidRPr="00233CA5">
        <w:rPr>
          <w:rFonts w:eastAsia="MS Mincho"/>
          <w:i/>
          <w:lang w:val="en-US"/>
        </w:rPr>
        <w:t>TA</w:t>
      </w:r>
      <w:r w:rsidR="003A1646">
        <w:rPr>
          <w:rFonts w:eastAsia="MS Mincho"/>
          <w:i/>
          <w:lang w:val="en-US"/>
        </w:rPr>
        <w:t xml:space="preserve"> / (2)</w:t>
      </w:r>
      <w:r w:rsidR="003A1646">
        <w:rPr>
          <w:rFonts w:eastAsia="MS Mincho"/>
          <w:lang w:val="en-US"/>
        </w:rPr>
        <w:t xml:space="preserve"> )</w:t>
      </w:r>
      <w:r w:rsidR="00233CA5">
        <w:rPr>
          <w:rFonts w:eastAsia="MS Mincho"/>
          <w:lang w:val="en-US"/>
        </w:rPr>
        <w:t xml:space="preserve">.  It can be observed that when at high RSRP, it requires a large change in RSRP in order to change 1 unit of </w:t>
      </w:r>
      <w:r w:rsidR="00233CA5">
        <w:rPr>
          <w:rFonts w:eastAsia="MS Mincho"/>
          <w:lang w:val="en-US"/>
        </w:rPr>
        <w:sym w:font="Symbol" w:char="F044"/>
      </w:r>
      <w:r w:rsidR="00233CA5" w:rsidRPr="00233CA5">
        <w:rPr>
          <w:rFonts w:eastAsia="MS Mincho"/>
          <w:i/>
          <w:lang w:val="en-US"/>
        </w:rPr>
        <w:t>TA</w:t>
      </w:r>
      <w:r w:rsidR="00233CA5">
        <w:rPr>
          <w:rFonts w:eastAsia="MS Mincho"/>
          <w:lang w:val="en-US"/>
        </w:rPr>
        <w:t xml:space="preserve"> compared to the case when RSRP is low.  For example when the RSRP is -40dBm, the required </w:t>
      </w:r>
      <w:r w:rsidR="00233CA5">
        <w:rPr>
          <w:rFonts w:eastAsia="MS Mincho"/>
          <w:lang w:val="en-US"/>
        </w:rPr>
        <w:sym w:font="Symbol" w:char="F044"/>
      </w:r>
      <w:r w:rsidR="00233CA5" w:rsidRPr="00233CA5">
        <w:rPr>
          <w:rFonts w:eastAsia="MS Mincho"/>
          <w:i/>
          <w:lang w:val="en-US"/>
        </w:rPr>
        <w:t>RSRP</w:t>
      </w:r>
      <w:r w:rsidR="00233CA5">
        <w:rPr>
          <w:rFonts w:eastAsia="MS Mincho"/>
          <w:lang w:val="en-US"/>
        </w:rPr>
        <w:t xml:space="preserve"> </w:t>
      </w:r>
      <w:r w:rsidR="00233CA5">
        <w:rPr>
          <w:lang w:val="en-US"/>
        </w:rPr>
        <w:t xml:space="preserve">is about 30 dB to change 1 unit of </w:t>
      </w:r>
      <w:r w:rsidR="00233CA5">
        <w:rPr>
          <w:rFonts w:eastAsia="MS Mincho"/>
          <w:lang w:val="en-US"/>
        </w:rPr>
        <w:sym w:font="Symbol" w:char="F044"/>
      </w:r>
      <w:r w:rsidR="00233CA5" w:rsidRPr="00233CA5">
        <w:rPr>
          <w:rFonts w:eastAsia="MS Mincho"/>
          <w:i/>
          <w:lang w:val="en-US"/>
        </w:rPr>
        <w:t>TA</w:t>
      </w:r>
      <w:r w:rsidR="00233CA5">
        <w:rPr>
          <w:rFonts w:eastAsia="MS Mincho"/>
          <w:lang w:val="en-US"/>
        </w:rPr>
        <w:t xml:space="preserve">, in contrast when the RSRP is -90 dBm, the required </w:t>
      </w:r>
      <w:r w:rsidR="00233CA5">
        <w:rPr>
          <w:rFonts w:eastAsia="MS Mincho"/>
          <w:lang w:val="en-US"/>
        </w:rPr>
        <w:sym w:font="Symbol" w:char="F044"/>
      </w:r>
      <w:r w:rsidR="00233CA5" w:rsidRPr="00233CA5">
        <w:rPr>
          <w:rFonts w:eastAsia="MS Mincho"/>
          <w:i/>
          <w:lang w:val="en-US"/>
        </w:rPr>
        <w:t>RSRP</w:t>
      </w:r>
      <w:r w:rsidR="00233CA5">
        <w:rPr>
          <w:rFonts w:eastAsia="MS Mincho"/>
          <w:lang w:val="en-US"/>
        </w:rPr>
        <w:t xml:space="preserve"> </w:t>
      </w:r>
      <w:r w:rsidR="00233CA5">
        <w:rPr>
          <w:lang w:val="en-US"/>
        </w:rPr>
        <w:t xml:space="preserve">is about 5 dB to change 1 unit of </w:t>
      </w:r>
      <w:r w:rsidR="00233CA5">
        <w:rPr>
          <w:rFonts w:eastAsia="MS Mincho"/>
          <w:lang w:val="en-US"/>
        </w:rPr>
        <w:sym w:font="Symbol" w:char="F044"/>
      </w:r>
      <w:r w:rsidR="00233CA5" w:rsidRPr="00233CA5">
        <w:rPr>
          <w:rFonts w:eastAsia="MS Mincho"/>
          <w:i/>
          <w:lang w:val="en-US"/>
        </w:rPr>
        <w:t>TA.</w:t>
      </w:r>
      <w:r w:rsidR="00233CA5">
        <w:rPr>
          <w:rFonts w:eastAsia="MS Mincho"/>
          <w:lang w:val="en-US"/>
        </w:rPr>
        <w:t xml:space="preserve">  Hence, the threshold </w:t>
      </w:r>
      <w:r w:rsidR="00233CA5" w:rsidRPr="00233CA5">
        <w:rPr>
          <w:rFonts w:eastAsia="MS Mincho"/>
          <w:i/>
          <w:lang w:val="en-US"/>
        </w:rPr>
        <w:t>T</w:t>
      </w:r>
      <w:r w:rsidR="00233CA5" w:rsidRPr="00233CA5">
        <w:rPr>
          <w:rFonts w:eastAsia="MS Mincho"/>
          <w:i/>
          <w:vertAlign w:val="subscript"/>
          <w:lang w:val="en-US"/>
        </w:rPr>
        <w:t>TA</w:t>
      </w:r>
      <w:r w:rsidR="00233CA5">
        <w:rPr>
          <w:rFonts w:eastAsia="MS Mincho"/>
          <w:lang w:val="en-US"/>
        </w:rPr>
        <w:t xml:space="preserve"> is dependent upon the absolute RSRP.</w:t>
      </w:r>
      <w:r w:rsidR="0023091B">
        <w:rPr>
          <w:rFonts w:eastAsia="MS Mincho"/>
          <w:lang w:val="en-US"/>
        </w:rPr>
        <w:t xml:space="preserve">  </w:t>
      </w:r>
    </w:p>
    <w:p w14:paraId="4F3089FF" w14:textId="77777777" w:rsidR="00C246F3" w:rsidRDefault="00C246F3" w:rsidP="0041482F">
      <w:pPr>
        <w:rPr>
          <w:rFonts w:eastAsia="MS Mincho"/>
          <w:lang w:val="en-US"/>
        </w:rPr>
      </w:pPr>
    </w:p>
    <w:p w14:paraId="142AE597" w14:textId="7C4A4715" w:rsidR="00233CA5" w:rsidRPr="0023091B" w:rsidRDefault="00233CA5" w:rsidP="0041482F">
      <w:pPr>
        <w:rPr>
          <w:rFonts w:eastAsia="MS Mincho"/>
          <w:b/>
          <w:lang w:val="en-US"/>
        </w:rPr>
      </w:pPr>
      <w:r w:rsidRPr="0023091B">
        <w:rPr>
          <w:rFonts w:eastAsia="MS Mincho"/>
          <w:b/>
          <w:lang w:val="en-US"/>
        </w:rPr>
        <w:t xml:space="preserve">Observation 2: The value of the threshold </w:t>
      </w:r>
      <w:r w:rsidRPr="0023091B">
        <w:rPr>
          <w:rFonts w:eastAsia="MS Mincho"/>
          <w:b/>
          <w:i/>
          <w:lang w:val="en-US"/>
        </w:rPr>
        <w:t>T</w:t>
      </w:r>
      <w:r w:rsidRPr="0023091B">
        <w:rPr>
          <w:rFonts w:eastAsia="MS Mincho"/>
          <w:b/>
          <w:i/>
          <w:vertAlign w:val="subscript"/>
          <w:lang w:val="en-US"/>
        </w:rPr>
        <w:t>TA</w:t>
      </w:r>
      <w:r w:rsidRPr="0023091B">
        <w:rPr>
          <w:rFonts w:eastAsia="MS Mincho"/>
          <w:b/>
          <w:lang w:val="en-US"/>
        </w:rPr>
        <w:t xml:space="preserve"> </w:t>
      </w:r>
      <w:r w:rsidR="00D05592">
        <w:rPr>
          <w:rFonts w:eastAsia="MS Mincho"/>
          <w:b/>
          <w:lang w:val="en-US"/>
        </w:rPr>
        <w:t xml:space="preserve">that </w:t>
      </w:r>
      <w:r w:rsidRPr="0023091B">
        <w:rPr>
          <w:rFonts w:eastAsia="MS Mincho"/>
          <w:b/>
          <w:lang w:val="en-US"/>
        </w:rPr>
        <w:t xml:space="preserve">is used to determine the validity of TA when using serving cell RSRP changes </w:t>
      </w:r>
      <w:r w:rsidRPr="0023091B">
        <w:rPr>
          <w:b/>
          <w:lang w:val="en-US"/>
        </w:rPr>
        <w:sym w:font="Symbol" w:char="F044"/>
      </w:r>
      <w:r w:rsidRPr="0023091B">
        <w:rPr>
          <w:b/>
          <w:i/>
          <w:lang w:val="en-US"/>
        </w:rPr>
        <w:t>RSRP</w:t>
      </w:r>
      <w:r w:rsidRPr="0023091B">
        <w:rPr>
          <w:b/>
          <w:lang w:val="en-US"/>
        </w:rPr>
        <w:t xml:space="preserve">, depends on the absolute RSRP.  That is a large value of </w:t>
      </w:r>
      <w:r w:rsidRPr="0023091B">
        <w:rPr>
          <w:b/>
          <w:i/>
          <w:lang w:val="en-US"/>
        </w:rPr>
        <w:t>T</w:t>
      </w:r>
      <w:r w:rsidRPr="0023091B">
        <w:rPr>
          <w:b/>
          <w:i/>
          <w:vertAlign w:val="subscript"/>
          <w:lang w:val="en-US"/>
        </w:rPr>
        <w:t>TA</w:t>
      </w:r>
      <w:r w:rsidRPr="0023091B">
        <w:rPr>
          <w:b/>
          <w:lang w:val="en-US"/>
        </w:rPr>
        <w:t xml:space="preserve"> is required when the absolute </w:t>
      </w:r>
      <w:r w:rsidR="0023091B" w:rsidRPr="0023091B">
        <w:rPr>
          <w:b/>
          <w:lang w:val="en-US"/>
        </w:rPr>
        <w:t xml:space="preserve">RSRP is high and a small value of </w:t>
      </w:r>
      <w:r w:rsidR="0023091B" w:rsidRPr="0023091B">
        <w:rPr>
          <w:b/>
          <w:i/>
          <w:lang w:val="en-US"/>
        </w:rPr>
        <w:t>T</w:t>
      </w:r>
      <w:r w:rsidR="0023091B" w:rsidRPr="0023091B">
        <w:rPr>
          <w:b/>
          <w:i/>
          <w:vertAlign w:val="subscript"/>
          <w:lang w:val="en-US"/>
        </w:rPr>
        <w:t>TA</w:t>
      </w:r>
      <w:r w:rsidR="0023091B" w:rsidRPr="0023091B">
        <w:rPr>
          <w:b/>
          <w:lang w:val="en-US"/>
        </w:rPr>
        <w:t xml:space="preserve"> is required when the absolute RSRP is low.</w:t>
      </w:r>
    </w:p>
    <w:p w14:paraId="4CB68AA7" w14:textId="77777777" w:rsidR="00233CA5" w:rsidRDefault="00233CA5" w:rsidP="00233CA5">
      <w:pPr>
        <w:keepNext/>
        <w:jc w:val="center"/>
      </w:pPr>
      <w:r>
        <w:rPr>
          <w:rFonts w:eastAsia="MS Mincho"/>
          <w:noProof/>
          <w:lang w:eastAsia="en-GB"/>
        </w:rPr>
        <w:lastRenderedPageBreak/>
        <w:drawing>
          <wp:inline distT="0" distB="0" distL="0" distR="0" wp14:anchorId="0E6D503D" wp14:editId="12ABF62D">
            <wp:extent cx="5932170" cy="3932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170" cy="3932555"/>
                    </a:xfrm>
                    <a:prstGeom prst="rect">
                      <a:avLst/>
                    </a:prstGeom>
                    <a:noFill/>
                  </pic:spPr>
                </pic:pic>
              </a:graphicData>
            </a:graphic>
          </wp:inline>
        </w:drawing>
      </w:r>
    </w:p>
    <w:p w14:paraId="11F1F65F" w14:textId="77777777" w:rsidR="00233CA5" w:rsidRDefault="00233CA5" w:rsidP="00233CA5">
      <w:pPr>
        <w:pStyle w:val="Caption"/>
        <w:jc w:val="center"/>
        <w:rPr>
          <w:rFonts w:eastAsia="MS Mincho"/>
          <w:lang w:val="en-US"/>
        </w:rPr>
      </w:pPr>
      <w:bookmarkStart w:id="2" w:name="_Ref1127060"/>
      <w:r>
        <w:t xml:space="preserve">Figure </w:t>
      </w:r>
      <w:r w:rsidR="00D25F71">
        <w:rPr>
          <w:noProof/>
        </w:rPr>
        <w:fldChar w:fldCharType="begin"/>
      </w:r>
      <w:r w:rsidR="00D25F71">
        <w:rPr>
          <w:noProof/>
        </w:rPr>
        <w:instrText xml:space="preserve"> SEQ Figure \* ARABIC </w:instrText>
      </w:r>
      <w:r w:rsidR="00D25F71">
        <w:rPr>
          <w:noProof/>
        </w:rPr>
        <w:fldChar w:fldCharType="separate"/>
      </w:r>
      <w:r>
        <w:rPr>
          <w:noProof/>
        </w:rPr>
        <w:t>1</w:t>
      </w:r>
      <w:r w:rsidR="00D25F71">
        <w:rPr>
          <w:noProof/>
        </w:rPr>
        <w:fldChar w:fldCharType="end"/>
      </w:r>
      <w:bookmarkEnd w:id="2"/>
      <w:r>
        <w:t xml:space="preserve">: RSRP (dBm) as a function of </w:t>
      </w:r>
      <w:r>
        <w:sym w:font="Symbol" w:char="F044"/>
      </w:r>
      <w:r w:rsidRPr="00233CA5">
        <w:rPr>
          <w:i/>
        </w:rPr>
        <w:t>TA</w:t>
      </w:r>
      <w:r>
        <w:t xml:space="preserve"> (</w:t>
      </w:r>
      <w:r>
        <w:sym w:font="Symbol" w:char="F044"/>
      </w:r>
      <w:r w:rsidRPr="00233CA5">
        <w:rPr>
          <w:i/>
        </w:rPr>
        <w:t>TA</w:t>
      </w:r>
      <w:r>
        <w:t xml:space="preserve"> = 470 ns)</w:t>
      </w:r>
    </w:p>
    <w:p w14:paraId="4895FADF" w14:textId="77777777" w:rsidR="00D05592" w:rsidRDefault="00D05592" w:rsidP="0023091B">
      <w:pPr>
        <w:rPr>
          <w:rFonts w:eastAsia="MS Mincho"/>
          <w:lang w:val="en-US"/>
        </w:rPr>
      </w:pPr>
    </w:p>
    <w:p w14:paraId="0A855BDA" w14:textId="77777777" w:rsidR="0023091B" w:rsidRDefault="0023091B" w:rsidP="0023091B">
      <w:pPr>
        <w:rPr>
          <w:rFonts w:eastAsia="MS Mincho"/>
          <w:lang w:val="en-US"/>
        </w:rPr>
      </w:pPr>
      <w:r>
        <w:rPr>
          <w:rFonts w:eastAsia="MS Mincho"/>
          <w:lang w:val="en-US"/>
        </w:rPr>
        <w:t xml:space="preserve">A lookup table of the RSRP threshold </w:t>
      </w:r>
      <w:r w:rsidRPr="0023091B">
        <w:rPr>
          <w:rFonts w:eastAsia="MS Mincho"/>
          <w:i/>
          <w:lang w:val="en-US"/>
        </w:rPr>
        <w:t>T</w:t>
      </w:r>
      <w:r w:rsidRPr="0023091B">
        <w:rPr>
          <w:rFonts w:eastAsia="MS Mincho"/>
          <w:i/>
          <w:vertAlign w:val="subscript"/>
          <w:lang w:val="en-US"/>
        </w:rPr>
        <w:t>TA</w:t>
      </w:r>
      <w:r>
        <w:rPr>
          <w:rFonts w:eastAsia="MS Mincho"/>
          <w:lang w:val="en-US"/>
        </w:rPr>
        <w:t xml:space="preserve"> and the range of absolute RSRP can be RRC configured by the network and the UE uses the </w:t>
      </w:r>
      <w:r w:rsidRPr="0023091B">
        <w:rPr>
          <w:rFonts w:eastAsia="MS Mincho"/>
          <w:i/>
          <w:lang w:val="en-US"/>
        </w:rPr>
        <w:t>T</w:t>
      </w:r>
      <w:r w:rsidRPr="0023091B">
        <w:rPr>
          <w:rFonts w:eastAsia="MS Mincho"/>
          <w:i/>
          <w:vertAlign w:val="subscript"/>
          <w:lang w:val="en-US"/>
        </w:rPr>
        <w:t>TA</w:t>
      </w:r>
      <w:r>
        <w:rPr>
          <w:rFonts w:eastAsia="MS Mincho"/>
          <w:lang w:val="en-US"/>
        </w:rPr>
        <w:t xml:space="preserve"> depending on the its RSRP range.  An example </w:t>
      </w:r>
      <w:r w:rsidR="005317FD">
        <w:rPr>
          <w:rFonts w:eastAsia="MS Mincho"/>
          <w:lang w:val="en-US"/>
        </w:rPr>
        <w:t xml:space="preserve">lookup table </w:t>
      </w:r>
      <w:r>
        <w:rPr>
          <w:rFonts w:eastAsia="MS Mincho"/>
          <w:lang w:val="en-US"/>
        </w:rPr>
        <w:t xml:space="preserve">is shown in </w:t>
      </w:r>
      <w:r>
        <w:rPr>
          <w:rFonts w:eastAsia="MS Mincho"/>
          <w:lang w:val="en-US"/>
        </w:rPr>
        <w:fldChar w:fldCharType="begin"/>
      </w:r>
      <w:r>
        <w:rPr>
          <w:rFonts w:eastAsia="MS Mincho"/>
          <w:lang w:val="en-US"/>
        </w:rPr>
        <w:instrText xml:space="preserve"> REF _Ref1128220 \h </w:instrText>
      </w:r>
      <w:r>
        <w:rPr>
          <w:rFonts w:eastAsia="MS Mincho"/>
          <w:lang w:val="en-US"/>
        </w:rPr>
      </w:r>
      <w:r>
        <w:rPr>
          <w:rFonts w:eastAsia="MS Mincho"/>
          <w:lang w:val="en-US"/>
        </w:rPr>
        <w:fldChar w:fldCharType="separate"/>
      </w:r>
      <w:r>
        <w:t xml:space="preserve">Table </w:t>
      </w:r>
      <w:r>
        <w:rPr>
          <w:noProof/>
        </w:rPr>
        <w:t>1</w:t>
      </w:r>
      <w:r>
        <w:rPr>
          <w:rFonts w:eastAsia="MS Mincho"/>
          <w:lang w:val="en-US"/>
        </w:rPr>
        <w:fldChar w:fldCharType="end"/>
      </w:r>
    </w:p>
    <w:p w14:paraId="39217CA8" w14:textId="77777777" w:rsidR="0023091B" w:rsidRDefault="0023091B" w:rsidP="0023091B">
      <w:pPr>
        <w:pStyle w:val="Caption"/>
        <w:jc w:val="center"/>
        <w:rPr>
          <w:rFonts w:eastAsia="MS Mincho"/>
          <w:lang w:val="en-US"/>
        </w:rPr>
      </w:pPr>
      <w:bookmarkStart w:id="3" w:name="_Ref1128220"/>
      <w:r>
        <w:t xml:space="preserve">Table </w:t>
      </w:r>
      <w:r w:rsidR="00D25F71">
        <w:rPr>
          <w:noProof/>
        </w:rPr>
        <w:fldChar w:fldCharType="begin"/>
      </w:r>
      <w:r w:rsidR="00D25F71">
        <w:rPr>
          <w:noProof/>
        </w:rPr>
        <w:instrText xml:space="preserve"> SEQ Table \* ARABIC </w:instrText>
      </w:r>
      <w:r w:rsidR="00D25F71">
        <w:rPr>
          <w:noProof/>
        </w:rPr>
        <w:fldChar w:fldCharType="separate"/>
      </w:r>
      <w:r>
        <w:rPr>
          <w:noProof/>
        </w:rPr>
        <w:t>1</w:t>
      </w:r>
      <w:r w:rsidR="00D25F71">
        <w:rPr>
          <w:noProof/>
        </w:rPr>
        <w:fldChar w:fldCharType="end"/>
      </w:r>
      <w:bookmarkEnd w:id="3"/>
      <w:r>
        <w:t xml:space="preserve">: Example lookup table for absolute RSRP range and RSRP threshold </w:t>
      </w:r>
      <w:r w:rsidRPr="0023091B">
        <w:rPr>
          <w:i/>
        </w:rPr>
        <w:t>T</w:t>
      </w:r>
      <w:r w:rsidRPr="0023091B">
        <w:rPr>
          <w:i/>
          <w:vertAlign w:val="subscript"/>
        </w:rPr>
        <w:t>TA</w:t>
      </w:r>
    </w:p>
    <w:tbl>
      <w:tblPr>
        <w:tblStyle w:val="TableGrid"/>
        <w:tblW w:w="0" w:type="auto"/>
        <w:tblInd w:w="1413" w:type="dxa"/>
        <w:tblLook w:val="04A0" w:firstRow="1" w:lastRow="0" w:firstColumn="1" w:lastColumn="0" w:noHBand="0" w:noVBand="1"/>
      </w:tblPr>
      <w:tblGrid>
        <w:gridCol w:w="3514"/>
        <w:gridCol w:w="3432"/>
      </w:tblGrid>
      <w:tr w:rsidR="0023091B" w14:paraId="19E56884" w14:textId="77777777" w:rsidTr="0023091B">
        <w:tc>
          <w:tcPr>
            <w:tcW w:w="3514" w:type="dxa"/>
            <w:shd w:val="clear" w:color="auto" w:fill="D9D9D9" w:themeFill="background1" w:themeFillShade="D9"/>
          </w:tcPr>
          <w:p w14:paraId="54B8174A" w14:textId="77777777" w:rsidR="0023091B" w:rsidRPr="0023091B" w:rsidRDefault="0023091B" w:rsidP="0023091B">
            <w:pPr>
              <w:jc w:val="center"/>
              <w:rPr>
                <w:rFonts w:eastAsia="MS Mincho"/>
                <w:b/>
                <w:lang w:val="en-US"/>
              </w:rPr>
            </w:pPr>
            <w:r w:rsidRPr="0023091B">
              <w:rPr>
                <w:rFonts w:eastAsia="MS Mincho"/>
                <w:b/>
                <w:lang w:val="en-US"/>
              </w:rPr>
              <w:t>RSRP range (dBm)</w:t>
            </w:r>
          </w:p>
        </w:tc>
        <w:tc>
          <w:tcPr>
            <w:tcW w:w="3432" w:type="dxa"/>
            <w:shd w:val="clear" w:color="auto" w:fill="D9D9D9" w:themeFill="background1" w:themeFillShade="D9"/>
          </w:tcPr>
          <w:p w14:paraId="35625F0E" w14:textId="77777777" w:rsidR="0023091B" w:rsidRPr="0023091B" w:rsidRDefault="0023091B" w:rsidP="0023091B">
            <w:pPr>
              <w:jc w:val="center"/>
              <w:rPr>
                <w:rFonts w:eastAsia="MS Mincho"/>
                <w:b/>
                <w:lang w:val="en-US"/>
              </w:rPr>
            </w:pPr>
            <w:r w:rsidRPr="0023091B">
              <w:rPr>
                <w:rFonts w:eastAsia="MS Mincho"/>
                <w:b/>
                <w:lang w:val="en-US"/>
              </w:rPr>
              <w:t xml:space="preserve">RSRP Threshold </w:t>
            </w:r>
            <w:r w:rsidRPr="00D05592">
              <w:rPr>
                <w:rFonts w:eastAsia="MS Mincho"/>
                <w:b/>
                <w:i/>
                <w:lang w:val="en-US"/>
              </w:rPr>
              <w:t>T</w:t>
            </w:r>
            <w:r w:rsidRPr="00D05592">
              <w:rPr>
                <w:rFonts w:eastAsia="MS Mincho"/>
                <w:b/>
                <w:i/>
                <w:vertAlign w:val="subscript"/>
                <w:lang w:val="en-US"/>
              </w:rPr>
              <w:t>TA</w:t>
            </w:r>
            <w:r w:rsidRPr="0023091B">
              <w:rPr>
                <w:rFonts w:eastAsia="MS Mincho"/>
                <w:b/>
                <w:lang w:val="en-US"/>
              </w:rPr>
              <w:t xml:space="preserve"> (dB)</w:t>
            </w:r>
          </w:p>
        </w:tc>
      </w:tr>
      <w:tr w:rsidR="0023091B" w14:paraId="1BC49CF0" w14:textId="77777777" w:rsidTr="0023091B">
        <w:tc>
          <w:tcPr>
            <w:tcW w:w="3514" w:type="dxa"/>
          </w:tcPr>
          <w:p w14:paraId="10E74DEC" w14:textId="77777777" w:rsidR="0023091B" w:rsidRPr="0023091B" w:rsidRDefault="0023091B" w:rsidP="005317FD">
            <w:pPr>
              <w:pStyle w:val="ListParagraph"/>
              <w:ind w:left="1080"/>
              <w:rPr>
                <w:rFonts w:eastAsia="MS Mincho"/>
                <w:lang w:val="en-US"/>
              </w:rPr>
            </w:pPr>
            <w:r>
              <w:rPr>
                <w:rFonts w:eastAsia="MS Mincho"/>
                <w:lang w:val="en-US"/>
              </w:rPr>
              <w:t>&gt;-60 dBm</w:t>
            </w:r>
          </w:p>
        </w:tc>
        <w:tc>
          <w:tcPr>
            <w:tcW w:w="3432" w:type="dxa"/>
          </w:tcPr>
          <w:p w14:paraId="14A51288" w14:textId="77777777" w:rsidR="0023091B" w:rsidRDefault="0023091B" w:rsidP="0023091B">
            <w:pPr>
              <w:jc w:val="center"/>
              <w:rPr>
                <w:rFonts w:eastAsia="MS Mincho"/>
                <w:lang w:val="en-US"/>
              </w:rPr>
            </w:pPr>
            <w:r>
              <w:rPr>
                <w:rFonts w:eastAsia="MS Mincho"/>
                <w:lang w:val="en-US"/>
              </w:rPr>
              <w:t>25 dB</w:t>
            </w:r>
          </w:p>
        </w:tc>
      </w:tr>
      <w:tr w:rsidR="0023091B" w14:paraId="33AAC0BE" w14:textId="77777777" w:rsidTr="0023091B">
        <w:tc>
          <w:tcPr>
            <w:tcW w:w="3514" w:type="dxa"/>
          </w:tcPr>
          <w:p w14:paraId="60C55922" w14:textId="77777777" w:rsidR="0023091B" w:rsidRDefault="0023091B" w:rsidP="0023091B">
            <w:pPr>
              <w:jc w:val="center"/>
              <w:rPr>
                <w:rFonts w:eastAsia="MS Mincho"/>
                <w:lang w:val="en-US"/>
              </w:rPr>
            </w:pPr>
            <w:r>
              <w:rPr>
                <w:rFonts w:eastAsia="MS Mincho"/>
                <w:lang w:val="en-US"/>
              </w:rPr>
              <w:t>-60 dBm to -85 dBm</w:t>
            </w:r>
          </w:p>
        </w:tc>
        <w:tc>
          <w:tcPr>
            <w:tcW w:w="3432" w:type="dxa"/>
          </w:tcPr>
          <w:p w14:paraId="0DF9652A" w14:textId="77777777" w:rsidR="0023091B" w:rsidRDefault="0023091B" w:rsidP="0023091B">
            <w:pPr>
              <w:jc w:val="center"/>
              <w:rPr>
                <w:rFonts w:eastAsia="MS Mincho"/>
                <w:lang w:val="en-US"/>
              </w:rPr>
            </w:pPr>
            <w:r>
              <w:rPr>
                <w:rFonts w:eastAsia="MS Mincho"/>
                <w:lang w:val="en-US"/>
              </w:rPr>
              <w:t>10 dB</w:t>
            </w:r>
          </w:p>
        </w:tc>
      </w:tr>
      <w:tr w:rsidR="0023091B" w14:paraId="466CA84D" w14:textId="77777777" w:rsidTr="0023091B">
        <w:tc>
          <w:tcPr>
            <w:tcW w:w="3514" w:type="dxa"/>
          </w:tcPr>
          <w:p w14:paraId="38B1139D" w14:textId="77777777" w:rsidR="0023091B" w:rsidRDefault="0023091B" w:rsidP="0023091B">
            <w:pPr>
              <w:jc w:val="center"/>
              <w:rPr>
                <w:rFonts w:eastAsia="MS Mincho"/>
                <w:lang w:val="en-US"/>
              </w:rPr>
            </w:pPr>
            <w:r>
              <w:rPr>
                <w:rFonts w:eastAsia="MS Mincho"/>
                <w:lang w:val="en-US"/>
              </w:rPr>
              <w:t>&lt;-90 dBm</w:t>
            </w:r>
          </w:p>
        </w:tc>
        <w:tc>
          <w:tcPr>
            <w:tcW w:w="3432" w:type="dxa"/>
          </w:tcPr>
          <w:p w14:paraId="7C4A38A9" w14:textId="77777777" w:rsidR="0023091B" w:rsidRDefault="0023091B" w:rsidP="0023091B">
            <w:pPr>
              <w:jc w:val="center"/>
              <w:rPr>
                <w:rFonts w:eastAsia="MS Mincho"/>
                <w:lang w:val="en-US"/>
              </w:rPr>
            </w:pPr>
            <w:r>
              <w:rPr>
                <w:rFonts w:eastAsia="MS Mincho"/>
                <w:lang w:val="en-US"/>
              </w:rPr>
              <w:t>5 dB</w:t>
            </w:r>
          </w:p>
        </w:tc>
      </w:tr>
    </w:tbl>
    <w:p w14:paraId="51816405" w14:textId="77777777" w:rsidR="0023091B" w:rsidRDefault="0023091B" w:rsidP="0023091B">
      <w:pPr>
        <w:rPr>
          <w:rFonts w:eastAsia="MS Mincho"/>
          <w:lang w:val="en-US"/>
        </w:rPr>
      </w:pPr>
    </w:p>
    <w:p w14:paraId="6BE6E9AF" w14:textId="77777777" w:rsidR="0023091B" w:rsidRPr="00577F8A" w:rsidRDefault="0023091B" w:rsidP="0041482F">
      <w:pPr>
        <w:rPr>
          <w:rFonts w:eastAsia="MS Mincho"/>
          <w:b/>
          <w:lang w:val="en-US"/>
        </w:rPr>
      </w:pPr>
      <w:r w:rsidRPr="00577F8A">
        <w:rPr>
          <w:rFonts w:eastAsia="MS Mincho"/>
          <w:b/>
          <w:lang w:val="en-US"/>
        </w:rPr>
        <w:t xml:space="preserve">Proposal 1: </w:t>
      </w:r>
      <w:r w:rsidR="005317FD" w:rsidRPr="00577F8A">
        <w:rPr>
          <w:rFonts w:eastAsia="MS Mincho"/>
          <w:b/>
          <w:lang w:val="en-US"/>
        </w:rPr>
        <w:t>For the validation of TA using serving RSRP changes, the following is used</w:t>
      </w:r>
    </w:p>
    <w:p w14:paraId="149FBE8F" w14:textId="77777777" w:rsidR="005317FD" w:rsidRPr="00577F8A" w:rsidRDefault="005317FD" w:rsidP="005317FD">
      <w:pPr>
        <w:ind w:left="2160"/>
        <w:rPr>
          <w:b/>
          <w:lang w:val="en-US"/>
        </w:rPr>
      </w:pPr>
      <w:r w:rsidRPr="00577F8A">
        <w:rPr>
          <w:b/>
          <w:lang w:val="en-US"/>
        </w:rPr>
        <w:t xml:space="preserve">If </w:t>
      </w:r>
      <w:r w:rsidRPr="00577F8A">
        <w:rPr>
          <w:b/>
          <w:lang w:val="en-US"/>
        </w:rPr>
        <w:sym w:font="Symbol" w:char="F044"/>
      </w:r>
      <w:r w:rsidRPr="00577F8A">
        <w:rPr>
          <w:b/>
          <w:i/>
          <w:lang w:val="en-US"/>
        </w:rPr>
        <w:t>RSRP</w:t>
      </w:r>
      <w:r w:rsidRPr="00577F8A">
        <w:rPr>
          <w:b/>
          <w:lang w:val="en-US"/>
        </w:rPr>
        <w:t xml:space="preserve"> &gt; </w:t>
      </w:r>
      <w:r w:rsidRPr="00577F8A">
        <w:rPr>
          <w:b/>
          <w:i/>
          <w:lang w:val="en-US"/>
        </w:rPr>
        <w:t>T</w:t>
      </w:r>
      <w:r w:rsidRPr="00577F8A">
        <w:rPr>
          <w:b/>
          <w:i/>
          <w:vertAlign w:val="subscript"/>
          <w:lang w:val="en-US"/>
        </w:rPr>
        <w:t>TA</w:t>
      </w:r>
      <w:r w:rsidR="00577F8A" w:rsidRPr="00577F8A">
        <w:rPr>
          <w:b/>
          <w:lang w:val="en-US"/>
        </w:rPr>
        <w:t>,</w:t>
      </w:r>
      <w:r w:rsidRPr="00577F8A">
        <w:rPr>
          <w:b/>
          <w:lang w:val="en-US"/>
        </w:rPr>
        <w:t xml:space="preserve"> </w:t>
      </w:r>
      <w:r w:rsidR="00577F8A" w:rsidRPr="00577F8A">
        <w:rPr>
          <w:b/>
          <w:lang w:val="en-US"/>
        </w:rPr>
        <w:tab/>
      </w:r>
      <w:r w:rsidRPr="00577F8A">
        <w:rPr>
          <w:b/>
          <w:lang w:val="en-US"/>
        </w:rPr>
        <w:t xml:space="preserve">TA is invalid, </w:t>
      </w:r>
    </w:p>
    <w:p w14:paraId="4F5E41A6" w14:textId="77777777" w:rsidR="005317FD" w:rsidRPr="00577F8A" w:rsidRDefault="00577F8A" w:rsidP="005317FD">
      <w:pPr>
        <w:ind w:left="2160"/>
        <w:rPr>
          <w:b/>
          <w:lang w:val="en-US"/>
        </w:rPr>
      </w:pPr>
      <w:r w:rsidRPr="00577F8A">
        <w:rPr>
          <w:b/>
          <w:lang w:val="en-US"/>
        </w:rPr>
        <w:t>O</w:t>
      </w:r>
      <w:r w:rsidR="005317FD" w:rsidRPr="00577F8A">
        <w:rPr>
          <w:b/>
          <w:lang w:val="en-US"/>
        </w:rPr>
        <w:t>therwise</w:t>
      </w:r>
      <w:r w:rsidRPr="00577F8A">
        <w:rPr>
          <w:b/>
          <w:lang w:val="en-US"/>
        </w:rPr>
        <w:t>,</w:t>
      </w:r>
      <w:r w:rsidR="005317FD" w:rsidRPr="00577F8A">
        <w:rPr>
          <w:b/>
          <w:lang w:val="en-US"/>
        </w:rPr>
        <w:t xml:space="preserve"> </w:t>
      </w:r>
      <w:r w:rsidRPr="00577F8A">
        <w:rPr>
          <w:b/>
          <w:lang w:val="en-US"/>
        </w:rPr>
        <w:tab/>
      </w:r>
      <w:r w:rsidRPr="00577F8A">
        <w:rPr>
          <w:b/>
          <w:lang w:val="en-US"/>
        </w:rPr>
        <w:tab/>
      </w:r>
      <w:r w:rsidR="005317FD" w:rsidRPr="00577F8A">
        <w:rPr>
          <w:b/>
          <w:lang w:val="en-US"/>
        </w:rPr>
        <w:t>TA is valid</w:t>
      </w:r>
    </w:p>
    <w:p w14:paraId="6E096501" w14:textId="77777777" w:rsidR="005317FD" w:rsidRPr="00577F8A" w:rsidRDefault="00577F8A" w:rsidP="0041482F">
      <w:pPr>
        <w:rPr>
          <w:b/>
          <w:lang w:val="en-US"/>
        </w:rPr>
      </w:pPr>
      <w:r w:rsidRPr="00577F8A">
        <w:rPr>
          <w:b/>
          <w:lang w:val="en-US"/>
        </w:rPr>
        <w:t>Here,</w:t>
      </w:r>
      <w:r w:rsidR="005317FD" w:rsidRPr="00577F8A">
        <w:rPr>
          <w:b/>
          <w:lang w:val="en-US"/>
        </w:rPr>
        <w:t xml:space="preserve"> </w:t>
      </w:r>
      <w:r w:rsidRPr="00577F8A">
        <w:rPr>
          <w:b/>
          <w:lang w:val="en-US"/>
        </w:rPr>
        <w:sym w:font="Symbol" w:char="F044"/>
      </w:r>
      <w:r w:rsidRPr="00577F8A">
        <w:rPr>
          <w:b/>
          <w:i/>
          <w:lang w:val="en-US"/>
        </w:rPr>
        <w:t>RSRP</w:t>
      </w:r>
      <w:r w:rsidRPr="00577F8A">
        <w:rPr>
          <w:b/>
          <w:lang w:val="en-US"/>
        </w:rPr>
        <w:t xml:space="preserve">== |RSRP at </w:t>
      </w:r>
      <w:r w:rsidRPr="00577F8A">
        <w:rPr>
          <w:b/>
          <w:i/>
          <w:lang w:val="en-US"/>
        </w:rPr>
        <w:t>t</w:t>
      </w:r>
      <w:r w:rsidRPr="00577F8A">
        <w:rPr>
          <w:b/>
          <w:vertAlign w:val="subscript"/>
          <w:lang w:val="en-US"/>
        </w:rPr>
        <w:t>1</w:t>
      </w:r>
      <w:r w:rsidRPr="00577F8A">
        <w:rPr>
          <w:b/>
          <w:lang w:val="en-US"/>
        </w:rPr>
        <w:t xml:space="preserve"> – RSRP at </w:t>
      </w:r>
      <w:r w:rsidRPr="00577F8A">
        <w:rPr>
          <w:b/>
          <w:i/>
          <w:lang w:val="en-US"/>
        </w:rPr>
        <w:t>t</w:t>
      </w:r>
      <w:r w:rsidRPr="00577F8A">
        <w:rPr>
          <w:b/>
          <w:vertAlign w:val="subscript"/>
          <w:lang w:val="en-US"/>
        </w:rPr>
        <w:t>0</w:t>
      </w:r>
      <w:r w:rsidRPr="00577F8A">
        <w:rPr>
          <w:b/>
          <w:lang w:val="en-US"/>
        </w:rPr>
        <w:t xml:space="preserve">| where </w:t>
      </w:r>
      <w:r w:rsidRPr="00577F8A">
        <w:rPr>
          <w:b/>
          <w:i/>
          <w:lang w:val="en-US"/>
        </w:rPr>
        <w:t>t</w:t>
      </w:r>
      <w:r w:rsidRPr="00577F8A">
        <w:rPr>
          <w:b/>
          <w:vertAlign w:val="subscript"/>
          <w:lang w:val="en-US"/>
        </w:rPr>
        <w:t>1</w:t>
      </w:r>
      <w:r w:rsidRPr="00577F8A">
        <w:rPr>
          <w:b/>
          <w:lang w:val="en-US"/>
        </w:rPr>
        <w:t xml:space="preserve"> &gt; </w:t>
      </w:r>
      <w:r w:rsidRPr="00577F8A">
        <w:rPr>
          <w:b/>
          <w:i/>
          <w:lang w:val="en-US"/>
        </w:rPr>
        <w:t>t</w:t>
      </w:r>
      <w:r w:rsidRPr="00577F8A">
        <w:rPr>
          <w:b/>
          <w:vertAlign w:val="subscript"/>
          <w:lang w:val="en-US"/>
        </w:rPr>
        <w:t>0</w:t>
      </w:r>
      <w:r w:rsidRPr="00577F8A">
        <w:rPr>
          <w:b/>
          <w:lang w:val="en-US"/>
        </w:rPr>
        <w:t xml:space="preserve"> and the value of </w:t>
      </w:r>
      <w:r w:rsidRPr="00577F8A">
        <w:rPr>
          <w:b/>
          <w:i/>
          <w:lang w:val="en-US"/>
        </w:rPr>
        <w:t>T</w:t>
      </w:r>
      <w:r w:rsidRPr="00577F8A">
        <w:rPr>
          <w:b/>
          <w:i/>
          <w:vertAlign w:val="subscript"/>
          <w:lang w:val="en-US"/>
        </w:rPr>
        <w:t>TA</w:t>
      </w:r>
      <w:r w:rsidRPr="00577F8A">
        <w:rPr>
          <w:b/>
          <w:lang w:val="en-US"/>
        </w:rPr>
        <w:t xml:space="preserve"> depends on the absolute RSRP which can be found from a lookup table.</w:t>
      </w:r>
    </w:p>
    <w:p w14:paraId="7974C02F" w14:textId="77777777" w:rsidR="00577F8A" w:rsidRDefault="00577F8A" w:rsidP="0041482F">
      <w:pPr>
        <w:rPr>
          <w:lang w:val="en-US"/>
        </w:rPr>
      </w:pPr>
    </w:p>
    <w:p w14:paraId="0EFDCFC7" w14:textId="77777777" w:rsidR="002D4F72" w:rsidRDefault="002D4F72" w:rsidP="002D4F72">
      <w:pPr>
        <w:pStyle w:val="Heading2"/>
        <w:numPr>
          <w:ilvl w:val="1"/>
          <w:numId w:val="8"/>
        </w:numPr>
        <w:rPr>
          <w:lang w:val="en-US"/>
        </w:rPr>
      </w:pPr>
      <w:r>
        <w:rPr>
          <w:lang w:val="en-US"/>
        </w:rPr>
        <w:t>PUR Configuration</w:t>
      </w:r>
    </w:p>
    <w:p w14:paraId="3A18ACC8" w14:textId="6057EDBA" w:rsidR="0023091B" w:rsidRDefault="002D4F72" w:rsidP="002D4F72">
      <w:pPr>
        <w:rPr>
          <w:lang w:val="en-US"/>
        </w:rPr>
      </w:pPr>
      <w:r>
        <w:rPr>
          <w:lang w:val="en-US"/>
        </w:rPr>
        <w:t>One of the main configuration parameters for PUR is the resources that the UE can use, i.e. the frequency &amp; time resource, the number of repetitions</w:t>
      </w:r>
      <w:r w:rsidR="002A006C">
        <w:rPr>
          <w:lang w:val="en-US"/>
        </w:rPr>
        <w:t xml:space="preserve">, TBS and </w:t>
      </w:r>
      <w:r>
        <w:rPr>
          <w:lang w:val="en-US"/>
        </w:rPr>
        <w:t xml:space="preserve">MCS.  </w:t>
      </w:r>
      <w:r w:rsidR="002A006C">
        <w:rPr>
          <w:lang w:val="en-US"/>
        </w:rPr>
        <w:t xml:space="preserve">These parameters depend on the UE expected radio condition and the type of service requested by the UE, e.g. </w:t>
      </w:r>
      <w:r w:rsidR="00B2782B">
        <w:rPr>
          <w:lang w:val="en-US"/>
        </w:rPr>
        <w:t xml:space="preserve">an </w:t>
      </w:r>
      <w:r w:rsidR="002A006C">
        <w:rPr>
          <w:lang w:val="en-US"/>
        </w:rPr>
        <w:t xml:space="preserve">MTC device </w:t>
      </w:r>
      <w:r w:rsidR="00B2782B">
        <w:rPr>
          <w:lang w:val="en-US"/>
        </w:rPr>
        <w:t xml:space="preserve">that </w:t>
      </w:r>
      <w:r w:rsidR="002A006C">
        <w:rPr>
          <w:lang w:val="en-US"/>
        </w:rPr>
        <w:t xml:space="preserve">reports temperature every 20 minutes.  We should not impose restriction on the type of services PUR can support and hence we should </w:t>
      </w:r>
      <w:r w:rsidR="002A006C">
        <w:rPr>
          <w:lang w:val="en-US"/>
        </w:rPr>
        <w:lastRenderedPageBreak/>
        <w:t xml:space="preserve">expect that the MTC device using PUR </w:t>
      </w:r>
      <w:r w:rsidR="00D05592">
        <w:rPr>
          <w:lang w:val="en-US"/>
        </w:rPr>
        <w:t>to support at least some mobility</w:t>
      </w:r>
      <w:r w:rsidR="002A006C">
        <w:rPr>
          <w:lang w:val="en-US"/>
        </w:rPr>
        <w:t xml:space="preserve">.  We should also expect that the service can change, e.g. </w:t>
      </w:r>
      <w:r w:rsidR="00B2782B">
        <w:rPr>
          <w:lang w:val="en-US"/>
        </w:rPr>
        <w:t xml:space="preserve">an </w:t>
      </w:r>
      <w:r w:rsidR="002A006C">
        <w:rPr>
          <w:lang w:val="en-US"/>
        </w:rPr>
        <w:t>MTC device can change from reporting temperature every 20 minutes to every 5 minutes if say the temperature exceeds a threshold.  Hence</w:t>
      </w:r>
      <w:r w:rsidR="00D05592">
        <w:rPr>
          <w:lang w:val="en-US"/>
        </w:rPr>
        <w:t>,</w:t>
      </w:r>
      <w:r w:rsidR="002A006C">
        <w:rPr>
          <w:lang w:val="en-US"/>
        </w:rPr>
        <w:t xml:space="preserve"> we should design the PUR such that these parameters can change during the PUR operation.</w:t>
      </w:r>
    </w:p>
    <w:p w14:paraId="5FA943EE" w14:textId="77777777" w:rsidR="002A006C" w:rsidRPr="002A006C" w:rsidRDefault="002A006C" w:rsidP="002D4F72">
      <w:pPr>
        <w:rPr>
          <w:b/>
          <w:lang w:val="en-US"/>
        </w:rPr>
      </w:pPr>
      <w:r w:rsidRPr="002A006C">
        <w:rPr>
          <w:b/>
          <w:lang w:val="en-US"/>
        </w:rPr>
        <w:t>Observation 3: The radio condition and the type of service for a UE using PUR can change and therefore the PUR parameters can also change.</w:t>
      </w:r>
    </w:p>
    <w:p w14:paraId="7B9FE20A" w14:textId="77777777" w:rsidR="002D4F72" w:rsidRDefault="002D4F72" w:rsidP="002D4F72">
      <w:pPr>
        <w:rPr>
          <w:lang w:val="en-US"/>
        </w:rPr>
      </w:pPr>
    </w:p>
    <w:p w14:paraId="3FAF9F01" w14:textId="54408AA8" w:rsidR="00BB47FD" w:rsidRDefault="002A006C" w:rsidP="002D4F72">
      <w:pPr>
        <w:rPr>
          <w:rFonts w:eastAsia="MS Mincho"/>
          <w:lang w:val="en-US"/>
        </w:rPr>
      </w:pPr>
      <w:r>
        <w:rPr>
          <w:rFonts w:eastAsia="MS Mincho"/>
          <w:lang w:val="en-US"/>
        </w:rPr>
        <w:t>When the radio condition deteriorates, the PUSCH transmission using PUR parameters configured for a better radio condition would fail.</w:t>
      </w:r>
      <w:r w:rsidR="00A2568F">
        <w:rPr>
          <w:rFonts w:eastAsia="MS Mincho"/>
          <w:lang w:val="en-US"/>
        </w:rPr>
        <w:t xml:space="preserve">  To avoid this, the PUR configuration can have multiple repetitions to cover a large range of radio conditions similar to that used for MPDCCH scheduling paging.  However, this method would lead to inefficient use of resources to s</w:t>
      </w:r>
      <w:r w:rsidR="00BB47FD">
        <w:rPr>
          <w:rFonts w:eastAsia="MS Mincho"/>
          <w:lang w:val="en-US"/>
        </w:rPr>
        <w:t>upport the worst case scenario</w:t>
      </w:r>
      <w:r w:rsidR="00D05592">
        <w:rPr>
          <w:rFonts w:eastAsia="MS Mincho"/>
          <w:lang w:val="en-US"/>
        </w:rPr>
        <w:t xml:space="preserve"> since these resources are dedicated</w:t>
      </w:r>
      <w:r w:rsidR="00BB47FD">
        <w:rPr>
          <w:rFonts w:eastAsia="MS Mincho"/>
          <w:lang w:val="en-US"/>
        </w:rPr>
        <w:t>.  Another way is to allow the PUR parameters to be changed either by the eNB or a request from the UE</w:t>
      </w:r>
      <w:r w:rsidR="00B2782B">
        <w:rPr>
          <w:rFonts w:eastAsia="MS Mincho"/>
          <w:lang w:val="en-US"/>
        </w:rPr>
        <w:t>.</w:t>
      </w:r>
      <w:r w:rsidR="00BB47FD">
        <w:rPr>
          <w:rFonts w:eastAsia="MS Mincho"/>
          <w:lang w:val="en-US"/>
        </w:rPr>
        <w:t xml:space="preserve"> </w:t>
      </w:r>
      <w:r w:rsidR="00B2782B">
        <w:rPr>
          <w:rFonts w:eastAsia="MS Mincho"/>
          <w:lang w:val="en-US"/>
        </w:rPr>
        <w:t>P</w:t>
      </w:r>
      <w:r w:rsidR="00BB47FD">
        <w:rPr>
          <w:rFonts w:eastAsia="MS Mincho"/>
          <w:lang w:val="en-US"/>
        </w:rPr>
        <w:t xml:space="preserve">referably this change can be done in idle mode.  Here, the eNB can change the PUR parameter if it detects that the PUSCH signal is deteriorating.  Allowing the UE to request for a change in PUR parameter is also beneficial if there is a change in service type (e.g. requiring more frequent PUR resources) or the radio condition deteriorates e.g. after not receiving any feedback for multiple PUSCH transmissions or the RSRP has changed after the UE </w:t>
      </w:r>
      <w:r w:rsidR="00B2782B">
        <w:rPr>
          <w:rFonts w:eastAsia="MS Mincho"/>
          <w:lang w:val="en-US"/>
        </w:rPr>
        <w:t xml:space="preserve">has </w:t>
      </w:r>
      <w:r w:rsidR="00BB47FD">
        <w:rPr>
          <w:rFonts w:eastAsia="MS Mincho"/>
          <w:lang w:val="en-US"/>
        </w:rPr>
        <w:t>skipped several PUR occasions.</w:t>
      </w:r>
      <w:r w:rsidR="00270216">
        <w:rPr>
          <w:rFonts w:eastAsia="MS Mincho"/>
          <w:lang w:val="en-US"/>
        </w:rPr>
        <w:t xml:space="preserve">  The UE request to change PUR parameters can be indicated via EDT (e.g. when radio condition deteriorates) </w:t>
      </w:r>
      <w:r w:rsidR="00953616">
        <w:rPr>
          <w:rFonts w:eastAsia="MS Mincho"/>
          <w:lang w:val="en-US"/>
        </w:rPr>
        <w:t xml:space="preserve">as part of a fallback mechanism </w:t>
      </w:r>
      <w:r w:rsidR="00270216">
        <w:rPr>
          <w:rFonts w:eastAsia="MS Mincho"/>
          <w:lang w:val="en-US"/>
        </w:rPr>
        <w:t>or via a PUSCH using PUR resource. The PUR parameter change can be signaled using Msg4 (if an EDT is used) or in the HARQ-ACK feedback.</w:t>
      </w:r>
    </w:p>
    <w:p w14:paraId="4F73CF7D" w14:textId="77777777" w:rsidR="00270216" w:rsidRPr="00270216" w:rsidRDefault="00270216" w:rsidP="002D4F72">
      <w:pPr>
        <w:rPr>
          <w:rFonts w:eastAsia="MS Mincho"/>
          <w:b/>
          <w:lang w:val="en-US"/>
        </w:rPr>
      </w:pPr>
      <w:r w:rsidRPr="00270216">
        <w:rPr>
          <w:rFonts w:eastAsia="MS Mincho"/>
          <w:b/>
          <w:lang w:val="en-US"/>
        </w:rPr>
        <w:t xml:space="preserve">Proposal 2: Allow the UE to request for changes to PUR parameters via EDT over Msg3 </w:t>
      </w:r>
      <w:r w:rsidR="00953616">
        <w:rPr>
          <w:rFonts w:eastAsia="MS Mincho"/>
          <w:b/>
          <w:lang w:val="en-US"/>
        </w:rPr>
        <w:t xml:space="preserve">(e.g. during fallback) </w:t>
      </w:r>
      <w:r w:rsidRPr="00270216">
        <w:rPr>
          <w:rFonts w:eastAsia="MS Mincho"/>
          <w:b/>
          <w:lang w:val="en-US"/>
        </w:rPr>
        <w:t>or a PUR transmission.</w:t>
      </w:r>
    </w:p>
    <w:p w14:paraId="28EBDE5B" w14:textId="77777777" w:rsidR="00270216" w:rsidRDefault="00270216" w:rsidP="00270216">
      <w:pPr>
        <w:rPr>
          <w:rFonts w:eastAsia="MS Mincho"/>
          <w:lang w:val="en-US"/>
        </w:rPr>
      </w:pPr>
      <w:r w:rsidRPr="00270216">
        <w:rPr>
          <w:rFonts w:eastAsia="MS Mincho"/>
          <w:b/>
          <w:lang w:val="en-US"/>
        </w:rPr>
        <w:t>Proposal 3: Support changes to PUR parameters in idle mode where the PUR re-configuration is signaled via Msg4 or HARQ-ACK feedback.</w:t>
      </w:r>
    </w:p>
    <w:p w14:paraId="7BBE0AC4" w14:textId="77777777" w:rsidR="00270216" w:rsidRDefault="00270216" w:rsidP="00270216">
      <w:pPr>
        <w:rPr>
          <w:rFonts w:eastAsia="MS Mincho"/>
          <w:lang w:val="en-US"/>
        </w:rPr>
      </w:pPr>
    </w:p>
    <w:p w14:paraId="44B00CDF" w14:textId="77777777" w:rsidR="00953616" w:rsidRDefault="00953616" w:rsidP="00953616">
      <w:pPr>
        <w:pStyle w:val="Heading2"/>
        <w:numPr>
          <w:ilvl w:val="1"/>
          <w:numId w:val="8"/>
        </w:numPr>
        <w:rPr>
          <w:lang w:val="en-US"/>
        </w:rPr>
      </w:pPr>
      <w:r>
        <w:rPr>
          <w:lang w:val="en-US"/>
        </w:rPr>
        <w:t>HARQ Operation</w:t>
      </w:r>
    </w:p>
    <w:p w14:paraId="30EA90AB" w14:textId="77777777" w:rsidR="002A006C" w:rsidRDefault="00953616" w:rsidP="00953616">
      <w:pPr>
        <w:rPr>
          <w:lang w:val="en-US"/>
        </w:rPr>
      </w:pPr>
      <w:r>
        <w:rPr>
          <w:lang w:val="en-US"/>
        </w:rPr>
        <w:t>It is agreed that an explicit ACK will be sent to the UE for a successful PUR transmission.  This explicit HARQ-ACK can be sent using a DCI (as in Rel-15) or a PDSCH.  For the purpose of indicating an ACK, using the DCI is more efficient than having to transmit an MPDCCH to schedule a PDSCH just to send a 1 bit ACK.  However, if a PUR parameter change is performed then it make</w:t>
      </w:r>
      <w:r w:rsidR="00B2782B">
        <w:rPr>
          <w:lang w:val="en-US"/>
        </w:rPr>
        <w:t>s</w:t>
      </w:r>
      <w:r>
        <w:rPr>
          <w:lang w:val="en-US"/>
        </w:rPr>
        <w:t xml:space="preserve"> sense to use a PDSCH.</w:t>
      </w:r>
    </w:p>
    <w:p w14:paraId="31BCB8CE" w14:textId="77777777" w:rsidR="00953616" w:rsidRPr="00953616" w:rsidRDefault="00953616" w:rsidP="00953616">
      <w:pPr>
        <w:rPr>
          <w:rFonts w:eastAsia="MS Mincho"/>
          <w:b/>
          <w:lang w:val="en-US"/>
        </w:rPr>
      </w:pPr>
      <w:r w:rsidRPr="00953616">
        <w:rPr>
          <w:b/>
          <w:lang w:val="en-US"/>
        </w:rPr>
        <w:t>Proposal 4: The explicit HARQ-ACK is transmitted using a DCI carried by MPDCCH.</w:t>
      </w:r>
    </w:p>
    <w:p w14:paraId="300A71A8" w14:textId="77777777" w:rsidR="00953616" w:rsidRDefault="00953616" w:rsidP="002D4F72">
      <w:pPr>
        <w:rPr>
          <w:rFonts w:eastAsia="MS Mincho"/>
          <w:lang w:val="en-US"/>
        </w:rPr>
      </w:pPr>
    </w:p>
    <w:p w14:paraId="1BB70410" w14:textId="77777777" w:rsidR="00953616" w:rsidRDefault="00953616" w:rsidP="002D4F72">
      <w:pPr>
        <w:rPr>
          <w:rFonts w:eastAsia="MS Mincho"/>
          <w:lang w:val="en-US"/>
        </w:rPr>
      </w:pPr>
      <w:r>
        <w:rPr>
          <w:rFonts w:eastAsia="MS Mincho"/>
          <w:lang w:val="en-US"/>
        </w:rPr>
        <w:t xml:space="preserve">When a PUR transmission is unsuccessfully decoded, the eNB can send an UL grant for a retransmission.  </w:t>
      </w:r>
      <w:r w:rsidR="00116008">
        <w:rPr>
          <w:rFonts w:eastAsia="MS Mincho"/>
          <w:lang w:val="en-US"/>
        </w:rPr>
        <w:t>However, the eNB would not send an UL grant if it fails to detect the PUR transmission.  Since an explicit HARQ-ACK is supported, then an absence of any feedback</w:t>
      </w:r>
      <w:r w:rsidR="00B2782B">
        <w:rPr>
          <w:rFonts w:eastAsia="MS Mincho"/>
          <w:lang w:val="en-US"/>
        </w:rPr>
        <w:t>,</w:t>
      </w:r>
      <w:r w:rsidR="00116008">
        <w:rPr>
          <w:rFonts w:eastAsia="MS Mincho"/>
          <w:lang w:val="en-US"/>
        </w:rPr>
        <w:t xml:space="preserve"> either an UL grant or HARQ-ACK</w:t>
      </w:r>
      <w:r w:rsidR="00B2782B">
        <w:rPr>
          <w:rFonts w:eastAsia="MS Mincho"/>
          <w:lang w:val="en-US"/>
        </w:rPr>
        <w:t>,</w:t>
      </w:r>
      <w:r w:rsidR="00116008">
        <w:rPr>
          <w:rFonts w:eastAsia="MS Mincho"/>
          <w:lang w:val="en-US"/>
        </w:rPr>
        <w:t xml:space="preserve"> would indicate that the eNB had failed to detect any PUR transmission.  Therefore an explicit HARQ-NACK is not required.</w:t>
      </w:r>
    </w:p>
    <w:p w14:paraId="57239EF8" w14:textId="77777777" w:rsidR="002A006C" w:rsidRPr="00116008" w:rsidRDefault="00116008" w:rsidP="002D4F72">
      <w:pPr>
        <w:rPr>
          <w:rFonts w:eastAsia="MS Mincho"/>
          <w:b/>
          <w:lang w:val="en-US"/>
        </w:rPr>
      </w:pPr>
      <w:bookmarkStart w:id="4" w:name="_GoBack"/>
      <w:r w:rsidRPr="00116008">
        <w:rPr>
          <w:rFonts w:eastAsia="MS Mincho"/>
          <w:b/>
          <w:lang w:val="en-US"/>
        </w:rPr>
        <w:t>Proposal 5: An explicit HARQ-NACK is not supported for dedicated PUR transmission.</w:t>
      </w:r>
    </w:p>
    <w:bookmarkEnd w:id="4"/>
    <w:p w14:paraId="0C96830A" w14:textId="77777777" w:rsidR="00116008" w:rsidRDefault="00116008" w:rsidP="002D4F72">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4698BDE6" w14:textId="77777777" w:rsidR="00855F39" w:rsidRDefault="00855F39" w:rsidP="00855F39">
      <w:r>
        <w:t xml:space="preserve">In this contribution we discuss </w:t>
      </w:r>
      <w:r w:rsidR="00116008">
        <w:t>remaining issues on dedicated PUR.  We observe the following</w:t>
      </w:r>
      <w:r>
        <w:t>:</w:t>
      </w:r>
    </w:p>
    <w:p w14:paraId="29EDC412" w14:textId="2A1467A5" w:rsidR="00855F39" w:rsidRDefault="00D05592" w:rsidP="00855F39">
      <w:pPr>
        <w:rPr>
          <w:b/>
          <w:lang w:val="en-US"/>
        </w:rPr>
      </w:pPr>
      <w:r w:rsidRPr="00C246F3">
        <w:rPr>
          <w:b/>
          <w:lang w:val="en-US"/>
        </w:rPr>
        <w:t xml:space="preserve">Observation 1: If a threshold </w:t>
      </w:r>
      <w:r w:rsidRPr="00C246F3">
        <w:rPr>
          <w:b/>
          <w:i/>
          <w:lang w:val="en-US"/>
        </w:rPr>
        <w:t>T</w:t>
      </w:r>
      <w:r w:rsidRPr="00C246F3">
        <w:rPr>
          <w:b/>
          <w:i/>
          <w:vertAlign w:val="subscript"/>
          <w:lang w:val="en-US"/>
        </w:rPr>
        <w:t>TA</w:t>
      </w:r>
      <w:r w:rsidRPr="00C246F3">
        <w:rPr>
          <w:b/>
          <w:lang w:val="en-US"/>
        </w:rPr>
        <w:t xml:space="preserve">, is defined when using serving cell RSRP changes </w:t>
      </w:r>
      <w:r w:rsidRPr="00C246F3">
        <w:rPr>
          <w:b/>
          <w:lang w:val="en-US"/>
        </w:rPr>
        <w:sym w:font="Symbol" w:char="F044"/>
      </w:r>
      <w:r w:rsidRPr="00C246F3">
        <w:rPr>
          <w:b/>
          <w:i/>
          <w:lang w:val="en-US"/>
        </w:rPr>
        <w:t>RSRP</w:t>
      </w:r>
      <w:r w:rsidRPr="00C246F3">
        <w:rPr>
          <w:b/>
          <w:lang w:val="en-US"/>
        </w:rPr>
        <w:t>, to evaluate the validity of the Timing Advance, this threshold needs to be dynamic since the relationship between RSRP and distance is non-linear.</w:t>
      </w:r>
    </w:p>
    <w:p w14:paraId="5C3486CC" w14:textId="77777777" w:rsidR="00D05592" w:rsidRPr="0023091B" w:rsidRDefault="00D05592" w:rsidP="00D05592">
      <w:pPr>
        <w:rPr>
          <w:rFonts w:eastAsia="MS Mincho"/>
          <w:b/>
          <w:lang w:val="en-US"/>
        </w:rPr>
      </w:pPr>
      <w:r w:rsidRPr="0023091B">
        <w:rPr>
          <w:rFonts w:eastAsia="MS Mincho"/>
          <w:b/>
          <w:lang w:val="en-US"/>
        </w:rPr>
        <w:t xml:space="preserve">Observation 2: The value of the threshold </w:t>
      </w:r>
      <w:r w:rsidRPr="0023091B">
        <w:rPr>
          <w:rFonts w:eastAsia="MS Mincho"/>
          <w:b/>
          <w:i/>
          <w:lang w:val="en-US"/>
        </w:rPr>
        <w:t>T</w:t>
      </w:r>
      <w:r w:rsidRPr="0023091B">
        <w:rPr>
          <w:rFonts w:eastAsia="MS Mincho"/>
          <w:b/>
          <w:i/>
          <w:vertAlign w:val="subscript"/>
          <w:lang w:val="en-US"/>
        </w:rPr>
        <w:t>TA</w:t>
      </w:r>
      <w:r w:rsidRPr="0023091B">
        <w:rPr>
          <w:rFonts w:eastAsia="MS Mincho"/>
          <w:b/>
          <w:lang w:val="en-US"/>
        </w:rPr>
        <w:t xml:space="preserve"> </w:t>
      </w:r>
      <w:r>
        <w:rPr>
          <w:rFonts w:eastAsia="MS Mincho"/>
          <w:b/>
          <w:lang w:val="en-US"/>
        </w:rPr>
        <w:t xml:space="preserve">that </w:t>
      </w:r>
      <w:r w:rsidRPr="0023091B">
        <w:rPr>
          <w:rFonts w:eastAsia="MS Mincho"/>
          <w:b/>
          <w:lang w:val="en-US"/>
        </w:rPr>
        <w:t xml:space="preserve">is used to determine the validity of TA when using serving cell RSRP changes </w:t>
      </w:r>
      <w:r w:rsidRPr="0023091B">
        <w:rPr>
          <w:b/>
          <w:lang w:val="en-US"/>
        </w:rPr>
        <w:sym w:font="Symbol" w:char="F044"/>
      </w:r>
      <w:r w:rsidRPr="0023091B">
        <w:rPr>
          <w:b/>
          <w:i/>
          <w:lang w:val="en-US"/>
        </w:rPr>
        <w:t>RSRP</w:t>
      </w:r>
      <w:r w:rsidRPr="0023091B">
        <w:rPr>
          <w:b/>
          <w:lang w:val="en-US"/>
        </w:rPr>
        <w:t xml:space="preserve">, depends on the absolute RSRP.  That is a large value of </w:t>
      </w:r>
      <w:r w:rsidRPr="0023091B">
        <w:rPr>
          <w:b/>
          <w:i/>
          <w:lang w:val="en-US"/>
        </w:rPr>
        <w:t>T</w:t>
      </w:r>
      <w:r w:rsidRPr="0023091B">
        <w:rPr>
          <w:b/>
          <w:i/>
          <w:vertAlign w:val="subscript"/>
          <w:lang w:val="en-US"/>
        </w:rPr>
        <w:t>TA</w:t>
      </w:r>
      <w:r w:rsidRPr="0023091B">
        <w:rPr>
          <w:b/>
          <w:lang w:val="en-US"/>
        </w:rPr>
        <w:t xml:space="preserve"> is </w:t>
      </w:r>
      <w:r w:rsidRPr="0023091B">
        <w:rPr>
          <w:b/>
          <w:lang w:val="en-US"/>
        </w:rPr>
        <w:lastRenderedPageBreak/>
        <w:t xml:space="preserve">required when the absolute RSRP is high and a small value of </w:t>
      </w:r>
      <w:r w:rsidRPr="0023091B">
        <w:rPr>
          <w:b/>
          <w:i/>
          <w:lang w:val="en-US"/>
        </w:rPr>
        <w:t>T</w:t>
      </w:r>
      <w:r w:rsidRPr="0023091B">
        <w:rPr>
          <w:b/>
          <w:i/>
          <w:vertAlign w:val="subscript"/>
          <w:lang w:val="en-US"/>
        </w:rPr>
        <w:t>TA</w:t>
      </w:r>
      <w:r w:rsidRPr="0023091B">
        <w:rPr>
          <w:b/>
          <w:lang w:val="en-US"/>
        </w:rPr>
        <w:t xml:space="preserve"> is required when the absolute RSRP is low.</w:t>
      </w:r>
    </w:p>
    <w:p w14:paraId="250B484A" w14:textId="77777777" w:rsidR="00D05592" w:rsidRPr="002A006C" w:rsidRDefault="00D05592" w:rsidP="00D05592">
      <w:pPr>
        <w:rPr>
          <w:b/>
          <w:lang w:val="en-US"/>
        </w:rPr>
      </w:pPr>
      <w:r w:rsidRPr="002A006C">
        <w:rPr>
          <w:b/>
          <w:lang w:val="en-US"/>
        </w:rPr>
        <w:t>Observation 3: The radio condition and the type of service for a UE using PUR can change and therefore the PUR parameters can also change.</w:t>
      </w:r>
    </w:p>
    <w:p w14:paraId="6BD8E7A0" w14:textId="77777777" w:rsidR="00D05592" w:rsidRDefault="00D05592" w:rsidP="00855F39">
      <w:pPr>
        <w:rPr>
          <w:b/>
        </w:rPr>
      </w:pPr>
    </w:p>
    <w:p w14:paraId="2187BC09" w14:textId="77777777" w:rsidR="00160371" w:rsidRDefault="00160371" w:rsidP="00855F39">
      <w:r>
        <w:t>We therefore propose the following:</w:t>
      </w:r>
    </w:p>
    <w:p w14:paraId="63ADC6C4" w14:textId="77777777" w:rsidR="00D05592" w:rsidRPr="00577F8A" w:rsidRDefault="00D05592" w:rsidP="00D05592">
      <w:pPr>
        <w:rPr>
          <w:rFonts w:eastAsia="MS Mincho"/>
          <w:b/>
          <w:lang w:val="en-US"/>
        </w:rPr>
      </w:pPr>
      <w:r w:rsidRPr="00577F8A">
        <w:rPr>
          <w:rFonts w:eastAsia="MS Mincho"/>
          <w:b/>
          <w:lang w:val="en-US"/>
        </w:rPr>
        <w:t>Proposal 1: For the validation of TA using serving RSRP changes, the following is used</w:t>
      </w:r>
    </w:p>
    <w:p w14:paraId="1CAF295E" w14:textId="77777777" w:rsidR="00D05592" w:rsidRPr="00577F8A" w:rsidRDefault="00D05592" w:rsidP="00D05592">
      <w:pPr>
        <w:ind w:left="2160"/>
        <w:rPr>
          <w:b/>
          <w:lang w:val="en-US"/>
        </w:rPr>
      </w:pPr>
      <w:r w:rsidRPr="00577F8A">
        <w:rPr>
          <w:b/>
          <w:lang w:val="en-US"/>
        </w:rPr>
        <w:t xml:space="preserve">If </w:t>
      </w:r>
      <w:r w:rsidRPr="00577F8A">
        <w:rPr>
          <w:b/>
          <w:lang w:val="en-US"/>
        </w:rPr>
        <w:sym w:font="Symbol" w:char="F044"/>
      </w:r>
      <w:r w:rsidRPr="00577F8A">
        <w:rPr>
          <w:b/>
          <w:i/>
          <w:lang w:val="en-US"/>
        </w:rPr>
        <w:t>RSRP</w:t>
      </w:r>
      <w:r w:rsidRPr="00577F8A">
        <w:rPr>
          <w:b/>
          <w:lang w:val="en-US"/>
        </w:rPr>
        <w:t xml:space="preserve"> &gt; </w:t>
      </w:r>
      <w:r w:rsidRPr="00577F8A">
        <w:rPr>
          <w:b/>
          <w:i/>
          <w:lang w:val="en-US"/>
        </w:rPr>
        <w:t>T</w:t>
      </w:r>
      <w:r w:rsidRPr="00577F8A">
        <w:rPr>
          <w:b/>
          <w:i/>
          <w:vertAlign w:val="subscript"/>
          <w:lang w:val="en-US"/>
        </w:rPr>
        <w:t>TA</w:t>
      </w:r>
      <w:r w:rsidRPr="00577F8A">
        <w:rPr>
          <w:b/>
          <w:lang w:val="en-US"/>
        </w:rPr>
        <w:t xml:space="preserve">, </w:t>
      </w:r>
      <w:r w:rsidRPr="00577F8A">
        <w:rPr>
          <w:b/>
          <w:lang w:val="en-US"/>
        </w:rPr>
        <w:tab/>
        <w:t xml:space="preserve">TA is invalid, </w:t>
      </w:r>
    </w:p>
    <w:p w14:paraId="06D2BEAA" w14:textId="77777777" w:rsidR="00D05592" w:rsidRPr="00577F8A" w:rsidRDefault="00D05592" w:rsidP="00D05592">
      <w:pPr>
        <w:ind w:left="2160"/>
        <w:rPr>
          <w:b/>
          <w:lang w:val="en-US"/>
        </w:rPr>
      </w:pPr>
      <w:r w:rsidRPr="00577F8A">
        <w:rPr>
          <w:b/>
          <w:lang w:val="en-US"/>
        </w:rPr>
        <w:t xml:space="preserve">Otherwise, </w:t>
      </w:r>
      <w:r w:rsidRPr="00577F8A">
        <w:rPr>
          <w:b/>
          <w:lang w:val="en-US"/>
        </w:rPr>
        <w:tab/>
      </w:r>
      <w:r w:rsidRPr="00577F8A">
        <w:rPr>
          <w:b/>
          <w:lang w:val="en-US"/>
        </w:rPr>
        <w:tab/>
        <w:t>TA is valid</w:t>
      </w:r>
    </w:p>
    <w:p w14:paraId="5DE9261F" w14:textId="77777777" w:rsidR="00D05592" w:rsidRPr="00577F8A" w:rsidRDefault="00D05592" w:rsidP="00D05592">
      <w:pPr>
        <w:rPr>
          <w:b/>
          <w:lang w:val="en-US"/>
        </w:rPr>
      </w:pPr>
      <w:r w:rsidRPr="00577F8A">
        <w:rPr>
          <w:b/>
          <w:lang w:val="en-US"/>
        </w:rPr>
        <w:t xml:space="preserve">Here, </w:t>
      </w:r>
      <w:r w:rsidRPr="00577F8A">
        <w:rPr>
          <w:b/>
          <w:lang w:val="en-US"/>
        </w:rPr>
        <w:sym w:font="Symbol" w:char="F044"/>
      </w:r>
      <w:r w:rsidRPr="00577F8A">
        <w:rPr>
          <w:b/>
          <w:i/>
          <w:lang w:val="en-US"/>
        </w:rPr>
        <w:t>RSRP</w:t>
      </w:r>
      <w:r w:rsidRPr="00577F8A">
        <w:rPr>
          <w:b/>
          <w:lang w:val="en-US"/>
        </w:rPr>
        <w:t xml:space="preserve">== |RSRP at </w:t>
      </w:r>
      <w:r w:rsidRPr="00577F8A">
        <w:rPr>
          <w:b/>
          <w:i/>
          <w:lang w:val="en-US"/>
        </w:rPr>
        <w:t>t</w:t>
      </w:r>
      <w:r w:rsidRPr="00577F8A">
        <w:rPr>
          <w:b/>
          <w:vertAlign w:val="subscript"/>
          <w:lang w:val="en-US"/>
        </w:rPr>
        <w:t>1</w:t>
      </w:r>
      <w:r w:rsidRPr="00577F8A">
        <w:rPr>
          <w:b/>
          <w:lang w:val="en-US"/>
        </w:rPr>
        <w:t xml:space="preserve"> – RSRP at </w:t>
      </w:r>
      <w:r w:rsidRPr="00577F8A">
        <w:rPr>
          <w:b/>
          <w:i/>
          <w:lang w:val="en-US"/>
        </w:rPr>
        <w:t>t</w:t>
      </w:r>
      <w:r w:rsidRPr="00577F8A">
        <w:rPr>
          <w:b/>
          <w:vertAlign w:val="subscript"/>
          <w:lang w:val="en-US"/>
        </w:rPr>
        <w:t>0</w:t>
      </w:r>
      <w:r w:rsidRPr="00577F8A">
        <w:rPr>
          <w:b/>
          <w:lang w:val="en-US"/>
        </w:rPr>
        <w:t xml:space="preserve">| where </w:t>
      </w:r>
      <w:r w:rsidRPr="00577F8A">
        <w:rPr>
          <w:b/>
          <w:i/>
          <w:lang w:val="en-US"/>
        </w:rPr>
        <w:t>t</w:t>
      </w:r>
      <w:r w:rsidRPr="00577F8A">
        <w:rPr>
          <w:b/>
          <w:vertAlign w:val="subscript"/>
          <w:lang w:val="en-US"/>
        </w:rPr>
        <w:t>1</w:t>
      </w:r>
      <w:r w:rsidRPr="00577F8A">
        <w:rPr>
          <w:b/>
          <w:lang w:val="en-US"/>
        </w:rPr>
        <w:t xml:space="preserve"> &gt; </w:t>
      </w:r>
      <w:r w:rsidRPr="00577F8A">
        <w:rPr>
          <w:b/>
          <w:i/>
          <w:lang w:val="en-US"/>
        </w:rPr>
        <w:t>t</w:t>
      </w:r>
      <w:r w:rsidRPr="00577F8A">
        <w:rPr>
          <w:b/>
          <w:vertAlign w:val="subscript"/>
          <w:lang w:val="en-US"/>
        </w:rPr>
        <w:t>0</w:t>
      </w:r>
      <w:r w:rsidRPr="00577F8A">
        <w:rPr>
          <w:b/>
          <w:lang w:val="en-US"/>
        </w:rPr>
        <w:t xml:space="preserve"> and the value of </w:t>
      </w:r>
      <w:r w:rsidRPr="00577F8A">
        <w:rPr>
          <w:b/>
          <w:i/>
          <w:lang w:val="en-US"/>
        </w:rPr>
        <w:t>T</w:t>
      </w:r>
      <w:r w:rsidRPr="00577F8A">
        <w:rPr>
          <w:b/>
          <w:i/>
          <w:vertAlign w:val="subscript"/>
          <w:lang w:val="en-US"/>
        </w:rPr>
        <w:t>TA</w:t>
      </w:r>
      <w:r w:rsidRPr="00577F8A">
        <w:rPr>
          <w:b/>
          <w:lang w:val="en-US"/>
        </w:rPr>
        <w:t xml:space="preserve"> depends on the absolute RSRP which can be found from a lookup table.</w:t>
      </w:r>
    </w:p>
    <w:p w14:paraId="1C366E14" w14:textId="77777777" w:rsidR="00D05592" w:rsidRPr="00270216" w:rsidRDefault="00D05592" w:rsidP="00D05592">
      <w:pPr>
        <w:rPr>
          <w:rFonts w:eastAsia="MS Mincho"/>
          <w:b/>
          <w:lang w:val="en-US"/>
        </w:rPr>
      </w:pPr>
      <w:r w:rsidRPr="00270216">
        <w:rPr>
          <w:rFonts w:eastAsia="MS Mincho"/>
          <w:b/>
          <w:lang w:val="en-US"/>
        </w:rPr>
        <w:t xml:space="preserve">Proposal 2: Allow the UE to request for changes to PUR parameters via EDT over Msg3 </w:t>
      </w:r>
      <w:r>
        <w:rPr>
          <w:rFonts w:eastAsia="MS Mincho"/>
          <w:b/>
          <w:lang w:val="en-US"/>
        </w:rPr>
        <w:t xml:space="preserve">(e.g. during fallback) </w:t>
      </w:r>
      <w:r w:rsidRPr="00270216">
        <w:rPr>
          <w:rFonts w:eastAsia="MS Mincho"/>
          <w:b/>
          <w:lang w:val="en-US"/>
        </w:rPr>
        <w:t>or a PUR transmission.</w:t>
      </w:r>
    </w:p>
    <w:p w14:paraId="6F29AFC8" w14:textId="77777777" w:rsidR="00D05592" w:rsidRDefault="00D05592" w:rsidP="00D05592">
      <w:pPr>
        <w:rPr>
          <w:rFonts w:eastAsia="MS Mincho"/>
          <w:lang w:val="en-US"/>
        </w:rPr>
      </w:pPr>
      <w:r w:rsidRPr="00270216">
        <w:rPr>
          <w:rFonts w:eastAsia="MS Mincho"/>
          <w:b/>
          <w:lang w:val="en-US"/>
        </w:rPr>
        <w:t>Proposal 3: Support changes to PUR parameters in idle mode where the PUR re-configuration is signaled via Msg4 or HARQ-ACK feedback.</w:t>
      </w:r>
    </w:p>
    <w:p w14:paraId="78BB31C6" w14:textId="77777777" w:rsidR="00D05592" w:rsidRPr="00953616" w:rsidRDefault="00D05592" w:rsidP="00D05592">
      <w:pPr>
        <w:rPr>
          <w:rFonts w:eastAsia="MS Mincho"/>
          <w:b/>
          <w:lang w:val="en-US"/>
        </w:rPr>
      </w:pPr>
      <w:r w:rsidRPr="00953616">
        <w:rPr>
          <w:b/>
          <w:lang w:val="en-US"/>
        </w:rPr>
        <w:t>Proposal 4: The explicit HARQ-ACK is transmitted using a DCI carried by MPDCCH.</w:t>
      </w:r>
    </w:p>
    <w:p w14:paraId="5A0A98A6" w14:textId="77777777" w:rsidR="00D05592" w:rsidRPr="00116008" w:rsidRDefault="00D05592" w:rsidP="00D05592">
      <w:pPr>
        <w:rPr>
          <w:rFonts w:eastAsia="MS Mincho"/>
          <w:b/>
          <w:lang w:val="en-US"/>
        </w:rPr>
      </w:pPr>
      <w:r w:rsidRPr="00116008">
        <w:rPr>
          <w:rFonts w:eastAsia="MS Mincho"/>
          <w:b/>
          <w:lang w:val="en-US"/>
        </w:rPr>
        <w:t>Proposal 5: An explicit HARQ-NACK is not supported for dedicated PUR transmission.</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77777777" w:rsidR="007271F6" w:rsidRDefault="00855F39" w:rsidP="00855F39">
      <w:r>
        <w:t xml:space="preserve">[1] </w:t>
      </w:r>
      <w:r w:rsidR="008F434A" w:rsidRPr="008F434A">
        <w:t>R1-1901459</w:t>
      </w:r>
      <w:r>
        <w:t>, “</w:t>
      </w:r>
      <w:r w:rsidR="008F434A" w:rsidRPr="008F434A">
        <w:t>Summary of 7.2.6.1.1 Potential enhancements to PDCCH</w:t>
      </w:r>
      <w:r w:rsidR="007271F6">
        <w:t>,</w:t>
      </w:r>
      <w:r>
        <w:t>”</w:t>
      </w:r>
      <w:r w:rsidR="007271F6">
        <w:t xml:space="preserve"> </w:t>
      </w:r>
      <w:r w:rsidR="008F434A">
        <w:t>Huawei</w:t>
      </w:r>
      <w:r w:rsidR="007271F6">
        <w:t>, RAN1 Ad-Hoc 1901</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CA01A4" w16cid:durableId="20119E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D0342" w14:textId="77777777" w:rsidR="00D25F71" w:rsidRDefault="00D25F71">
      <w:r>
        <w:separator/>
      </w:r>
    </w:p>
  </w:endnote>
  <w:endnote w:type="continuationSeparator" w:id="0">
    <w:p w14:paraId="3D166B04" w14:textId="77777777" w:rsidR="00D25F71" w:rsidRDefault="00D2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66FC1" w14:textId="77777777" w:rsidR="00D25F71" w:rsidRDefault="00D25F71">
      <w:r>
        <w:separator/>
      </w:r>
    </w:p>
  </w:footnote>
  <w:footnote w:type="continuationSeparator" w:id="0">
    <w:p w14:paraId="4EAE11FB" w14:textId="77777777" w:rsidR="00D25F71" w:rsidRDefault="00D25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5"/>
  </w:num>
  <w:num w:numId="4">
    <w:abstractNumId w:val="5"/>
  </w:num>
  <w:num w:numId="5">
    <w:abstractNumId w:val="18"/>
  </w:num>
  <w:num w:numId="6">
    <w:abstractNumId w:val="6"/>
  </w:num>
  <w:num w:numId="7">
    <w:abstractNumId w:val="1"/>
  </w:num>
  <w:num w:numId="8">
    <w:abstractNumId w:val="0"/>
  </w:num>
  <w:num w:numId="9">
    <w:abstractNumId w:val="13"/>
  </w:num>
  <w:num w:numId="10">
    <w:abstractNumId w:val="10"/>
  </w:num>
  <w:num w:numId="11">
    <w:abstractNumId w:val="4"/>
  </w:num>
  <w:num w:numId="12">
    <w:abstractNumId w:val="26"/>
  </w:num>
  <w:num w:numId="13">
    <w:abstractNumId w:val="16"/>
  </w:num>
  <w:num w:numId="14">
    <w:abstractNumId w:val="9"/>
  </w:num>
  <w:num w:numId="15">
    <w:abstractNumId w:val="25"/>
  </w:num>
  <w:num w:numId="16">
    <w:abstractNumId w:val="21"/>
  </w:num>
  <w:num w:numId="17">
    <w:abstractNumId w:val="27"/>
  </w:num>
  <w:num w:numId="18">
    <w:abstractNumId w:val="23"/>
  </w:num>
  <w:num w:numId="19">
    <w:abstractNumId w:val="14"/>
  </w:num>
  <w:num w:numId="20">
    <w:abstractNumId w:val="2"/>
  </w:num>
  <w:num w:numId="21">
    <w:abstractNumId w:val="11"/>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9"/>
  </w:num>
  <w:num w:numId="26">
    <w:abstractNumId w:val="12"/>
  </w:num>
  <w:num w:numId="27">
    <w:abstractNumId w:val="17"/>
  </w:num>
  <w:num w:numId="28">
    <w:abstractNumId w:val="22"/>
  </w:num>
  <w:num w:numId="2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D7B2E"/>
    <w:rsid w:val="000F2691"/>
    <w:rsid w:val="00106793"/>
    <w:rsid w:val="00116008"/>
    <w:rsid w:val="00160371"/>
    <w:rsid w:val="001D7294"/>
    <w:rsid w:val="001F6D3C"/>
    <w:rsid w:val="002136ED"/>
    <w:rsid w:val="0022222B"/>
    <w:rsid w:val="0023091B"/>
    <w:rsid w:val="00233CA5"/>
    <w:rsid w:val="00270216"/>
    <w:rsid w:val="002761EC"/>
    <w:rsid w:val="002A006C"/>
    <w:rsid w:val="002B1D8E"/>
    <w:rsid w:val="002C75C7"/>
    <w:rsid w:val="002D14A6"/>
    <w:rsid w:val="002D4F72"/>
    <w:rsid w:val="002F7659"/>
    <w:rsid w:val="003539C7"/>
    <w:rsid w:val="003A004E"/>
    <w:rsid w:val="003A1646"/>
    <w:rsid w:val="003D3533"/>
    <w:rsid w:val="003D4C90"/>
    <w:rsid w:val="0041482F"/>
    <w:rsid w:val="00427D9F"/>
    <w:rsid w:val="0048511E"/>
    <w:rsid w:val="00492A87"/>
    <w:rsid w:val="004A650D"/>
    <w:rsid w:val="004D1FC7"/>
    <w:rsid w:val="004D5BF4"/>
    <w:rsid w:val="00503DA1"/>
    <w:rsid w:val="005317FD"/>
    <w:rsid w:val="00544758"/>
    <w:rsid w:val="0055725A"/>
    <w:rsid w:val="00577F8A"/>
    <w:rsid w:val="005C19D9"/>
    <w:rsid w:val="005C70A9"/>
    <w:rsid w:val="005D729E"/>
    <w:rsid w:val="005F5642"/>
    <w:rsid w:val="006569B2"/>
    <w:rsid w:val="00673015"/>
    <w:rsid w:val="006B39D4"/>
    <w:rsid w:val="006D0EAA"/>
    <w:rsid w:val="007271F6"/>
    <w:rsid w:val="00773AC2"/>
    <w:rsid w:val="00783E56"/>
    <w:rsid w:val="007A086D"/>
    <w:rsid w:val="007D3E92"/>
    <w:rsid w:val="00802E59"/>
    <w:rsid w:val="008413E1"/>
    <w:rsid w:val="00842D44"/>
    <w:rsid w:val="00847A26"/>
    <w:rsid w:val="00855F39"/>
    <w:rsid w:val="008B589E"/>
    <w:rsid w:val="008D7C42"/>
    <w:rsid w:val="008F434A"/>
    <w:rsid w:val="00924FF2"/>
    <w:rsid w:val="0095028A"/>
    <w:rsid w:val="00953616"/>
    <w:rsid w:val="0099351A"/>
    <w:rsid w:val="009D4321"/>
    <w:rsid w:val="009D6199"/>
    <w:rsid w:val="009E0604"/>
    <w:rsid w:val="00A2568F"/>
    <w:rsid w:val="00A4775E"/>
    <w:rsid w:val="00A57B22"/>
    <w:rsid w:val="00A824A2"/>
    <w:rsid w:val="00A91C99"/>
    <w:rsid w:val="00AB4ED7"/>
    <w:rsid w:val="00AE52A9"/>
    <w:rsid w:val="00AF500B"/>
    <w:rsid w:val="00B132F8"/>
    <w:rsid w:val="00B2782B"/>
    <w:rsid w:val="00B4693B"/>
    <w:rsid w:val="00BA58BF"/>
    <w:rsid w:val="00BB47FD"/>
    <w:rsid w:val="00C05967"/>
    <w:rsid w:val="00C11C96"/>
    <w:rsid w:val="00C17CE0"/>
    <w:rsid w:val="00C246F3"/>
    <w:rsid w:val="00C64143"/>
    <w:rsid w:val="00C8704A"/>
    <w:rsid w:val="00CB2067"/>
    <w:rsid w:val="00D05592"/>
    <w:rsid w:val="00D25F71"/>
    <w:rsid w:val="00D3258A"/>
    <w:rsid w:val="00D550D7"/>
    <w:rsid w:val="00D969D2"/>
    <w:rsid w:val="00DA4475"/>
    <w:rsid w:val="00DB3077"/>
    <w:rsid w:val="00DB7F21"/>
    <w:rsid w:val="00DD077C"/>
    <w:rsid w:val="00DE5DA3"/>
    <w:rsid w:val="00E7721C"/>
    <w:rsid w:val="00E80AA8"/>
    <w:rsid w:val="00EA40E1"/>
    <w:rsid w:val="00EF2E1D"/>
    <w:rsid w:val="00EF6860"/>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C6B14-2593-45FB-BC14-4966175A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5</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42</cp:revision>
  <cp:lastPrinted>2002-04-23T09:10:00Z</cp:lastPrinted>
  <dcterms:created xsi:type="dcterms:W3CDTF">2019-01-10T17:39:00Z</dcterms:created>
  <dcterms:modified xsi:type="dcterms:W3CDTF">2019-02-15T19:57:00Z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